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rId34.png" ContentType="image/png"/>
  <Override PartName="/word/media/rId38.png" ContentType="image/png"/>
  <Override PartName="/word/media/rId42.png" ContentType="image/png"/>
  <Override PartName="/word/media/rId46.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4514"/>
        <w:tblLayout w:type="fixed"/>
        <w:tblLook w:firstRow="1" w:lastRow="0" w:firstColumn="0" w:lastColumn="0" w:noHBand="0" w:noVBand="0" w:val="0020"/>
      </w:tblPr>
      <w:tblGrid>
        <w:gridCol w:w="1980"/>
        <w:gridCol w:w="5170"/>
      </w:tblGrid>
      <w:tr>
        <w:trPr>
          <w:tblHeader w:val="on"/>
        </w:trPr>
        <w:tc>
          <w:tcPr>
            <w:gridSpan w:val="2"/>
          </w:tcPr>
          <w:p>
            <w:pPr>
              <w:pStyle w:val="Compact"/>
              <w:jc w:val="left"/>
            </w:pPr>
            <w:r>
              <w:rPr>
                <w:b/>
                <w:bCs/>
              </w:rPr>
              <w:t xml:space="preserve">oneM2M</w:t>
            </w:r>
            <w:r>
              <w:br/>
            </w:r>
            <w:r>
              <w:rPr>
                <w:b/>
                <w:bCs/>
              </w:rPr>
              <w:t xml:space="preserve">Technical</w:t>
            </w:r>
            <w:r>
              <w:t xml:space="preserve"> </w:t>
            </w:r>
            <w:r>
              <w:rPr>
                <w:b/>
                <w:bCs/>
              </w:rPr>
              <w:t xml:space="preserve">Report</w:t>
            </w:r>
          </w:p>
        </w:tc>
      </w:tr>
      <w:tr>
        <w:tc>
          <w:tcPr/>
          <w:p>
            <w:pPr>
              <w:pStyle w:val="Compact"/>
              <w:jc w:val="left"/>
            </w:pPr>
            <w:r>
              <w:t xml:space="preserve">Document Number</w:t>
            </w:r>
          </w:p>
        </w:tc>
        <w:tc>
          <w:tcPr/>
          <w:p>
            <w:pPr>
              <w:pStyle w:val="Compact"/>
              <w:jc w:val="left"/>
            </w:pPr>
            <w:r>
              <w:t xml:space="preserve">oneM2M-TR-0077-V-0.1.0</w:t>
            </w:r>
          </w:p>
        </w:tc>
      </w:tr>
      <w:tr>
        <w:tc>
          <w:tcPr/>
          <w:p>
            <w:pPr>
              <w:pStyle w:val="Compact"/>
              <w:jc w:val="left"/>
            </w:pPr>
            <w:r>
              <w:t xml:space="preserve">Document Name:</w:t>
            </w:r>
          </w:p>
        </w:tc>
        <w:tc>
          <w:tcPr/>
          <w:p>
            <w:pPr>
              <w:pStyle w:val="Compact"/>
              <w:jc w:val="left"/>
            </w:pPr>
            <w:r>
              <w:t xml:space="preserve">oneM2M and MEC integartion scenario and</w:t>
            </w:r>
            <w:r>
              <w:t xml:space="preserve"> </w:t>
            </w:r>
            <w:r>
              <w:t xml:space="preserve">mechanisms</w:t>
            </w:r>
          </w:p>
        </w:tc>
      </w:tr>
      <w:tr>
        <w:tc>
          <w:tcPr/>
          <w:p>
            <w:pPr>
              <w:pStyle w:val="Compact"/>
              <w:jc w:val="left"/>
            </w:pPr>
            <w:r>
              <w:t xml:space="preserve">Date:</w:t>
            </w:r>
          </w:p>
        </w:tc>
        <w:tc>
          <w:tcPr/>
          <w:p>
            <w:pPr>
              <w:pStyle w:val="Compact"/>
              <w:jc w:val="left"/>
            </w:pPr>
            <w:r>
              <w:t xml:space="preserve">&lt;2025-06-27&gt;</w:t>
            </w:r>
          </w:p>
        </w:tc>
      </w:tr>
      <w:tr>
        <w:tc>
          <w:tcPr/>
          <w:p>
            <w:pPr>
              <w:pStyle w:val="Compact"/>
              <w:jc w:val="left"/>
            </w:pPr>
            <w:r>
              <w:t xml:space="preserve">Abstract:</w:t>
            </w:r>
          </w:p>
        </w:tc>
        <w:tc>
          <w:tcPr/>
          <w:p>
            <w:pPr>
              <w:pStyle w:val="Compact"/>
              <w:jc w:val="left"/>
            </w:pPr>
            <w:r>
              <w:t xml:space="preserve">&lt; An abstract of the document and</w:t>
            </w:r>
            <w:r>
              <w:t xml:space="preserve"> </w:t>
            </w:r>
            <w:r>
              <w:t xml:space="preserve">information that may be used in subsequent</w:t>
            </w:r>
            <w:r>
              <w:t xml:space="preserve"> </w:t>
            </w:r>
            <w:r>
              <w:t xml:space="preserve">electronic searches&gt;</w:t>
            </w:r>
          </w:p>
        </w:tc>
      </w:tr>
      <w:tr>
        <w:tc>
          <w:tcPr>
            <w:gridSpan w:val="2"/>
          </w:tcPr>
          <w:p>
            <w:pPr>
              <w:pStyle w:val="Compact"/>
              <w:jc w:val="left"/>
            </w:pPr>
            <w:r>
              <w:t xml:space="preserve">Template Version: January 2020 (Do not modify)</w:t>
            </w:r>
          </w:p>
        </w:tc>
      </w:tr>
    </w:tbl>
    <w:p>
      <w:pPr>
        <w:pStyle w:val="BodyText"/>
      </w:pPr>
      <w:r>
        <w:t xml:space="preserve">The present document is provided for future development work within oneM2M only. The Partners accept no liability for any use of this report.</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1"/>
        </w:numPr>
      </w:pPr>
      <w:r>
        <w:t xml:space="preserve">2025, oneM2M Partners Type 1.</w:t>
      </w:r>
    </w:p>
    <w:p>
      <w:pPr>
        <w:pStyle w:val="FirstParagraph"/>
      </w:pPr>
      <w:r>
        <w:t xml:space="preserve">All rights reserved.</w:t>
      </w:r>
    </w:p>
    <w:p>
      <w:pPr>
        <w:pStyle w:val="BodyText"/>
      </w:pPr>
      <w:r>
        <w:t xml:space="preserve">The copyright and the foregoing restriction extend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Xe254da9c2f303321d6c9a4dcbd53386c9eebb59">
        <w:r>
          <w:rPr>
            <w:rStyle w:val="Hyperlink"/>
          </w:rPr>
          <w:t xml:space="preserve">3 Definition of terms, symbols and abbreviations</w:t>
        </w:r>
      </w:hyperlink>
      <w:r>
        <w:br/>
      </w:r>
      <w:r>
        <w:t xml:space="preserve">    </w:t>
      </w:r>
      <w:hyperlink w:anchor="terms">
        <w:r>
          <w:rPr>
            <w:rStyle w:val="Hyperlink"/>
          </w:rPr>
          <w:t xml:space="preserve">3.1 Terms</w:t>
        </w:r>
      </w:hyperlink>
      <w:r>
        <w:br/>
      </w:r>
      <w:r>
        <w:t xml:space="preserve">    </w:t>
      </w:r>
      <w:hyperlink w:anchor="symbols">
        <w:r>
          <w:rPr>
            <w:rStyle w:val="Hyperlink"/>
          </w:rPr>
          <w:t xml:space="preserve">3.2 Symbols</w:t>
        </w:r>
      </w:hyperlink>
      <w:r>
        <w:br/>
      </w:r>
      <w:r>
        <w:t xml:space="preserve">    </w:t>
      </w:r>
      <w:hyperlink w:anchor="abbreviations">
        <w:r>
          <w:rPr>
            <w:rStyle w:val="Hyperlink"/>
          </w:rPr>
          <w:t xml:space="preserve">3.3 Abbreviations</w:t>
        </w:r>
      </w:hyperlink>
      <w:r>
        <w:br/>
      </w:r>
      <w:hyperlink w:anchor="conventions">
        <w:r>
          <w:rPr>
            <w:rStyle w:val="Hyperlink"/>
          </w:rPr>
          <w:t xml:space="preserve">4 Conventions</w:t>
        </w:r>
      </w:hyperlink>
      <w:r>
        <w:br/>
      </w:r>
      <w:hyperlink w:anchor="X6a533ea1c410e3874912b18ac8666d87b5cb828">
        <w:r>
          <w:rPr>
            <w:rStyle w:val="Hyperlink"/>
          </w:rPr>
          <w:t xml:space="preserve">5 Introduction to Interworking with ETSI MEC</w:t>
        </w:r>
      </w:hyperlink>
      <w:r>
        <w:br/>
      </w:r>
      <w:r>
        <w:t xml:space="preserve">    </w:t>
      </w:r>
      <w:hyperlink w:anchor="deploying-onem2m-with-etsi-mec">
        <w:r>
          <w:rPr>
            <w:rStyle w:val="Hyperlink"/>
          </w:rPr>
          <w:t xml:space="preserve">5.1 Deploying oneM2M with ETSI MEC</w:t>
        </w:r>
      </w:hyperlink>
      <w:r>
        <w:br/>
      </w:r>
      <w:r>
        <w:t xml:space="preserve">        </w:t>
      </w:r>
      <w:hyperlink w:anchor="option-a">
        <w:r>
          <w:rPr>
            <w:rStyle w:val="Hyperlink"/>
          </w:rPr>
          <w:t xml:space="preserve">5.1.1 Option A</w:t>
        </w:r>
      </w:hyperlink>
      <w:r>
        <w:br/>
      </w:r>
      <w:r>
        <w:t xml:space="preserve">        </w:t>
      </w:r>
      <w:hyperlink w:anchor="option-b">
        <w:r>
          <w:rPr>
            <w:rStyle w:val="Hyperlink"/>
          </w:rPr>
          <w:t xml:space="preserve">5.1.2 Option B</w:t>
        </w:r>
      </w:hyperlink>
      <w:r>
        <w:br/>
      </w:r>
      <w:r>
        <w:t xml:space="preserve">        </w:t>
      </w:r>
      <w:hyperlink w:anchor="option-c">
        <w:r>
          <w:rPr>
            <w:rStyle w:val="Hyperlink"/>
          </w:rPr>
          <w:t xml:space="preserve">5.1.3 Option C</w:t>
        </w:r>
      </w:hyperlink>
      <w:r>
        <w:br/>
      </w:r>
      <w:r>
        <w:t xml:space="preserve">        </w:t>
      </w:r>
      <w:hyperlink w:anchor="option-d">
        <w:r>
          <w:rPr>
            <w:rStyle w:val="Hyperlink"/>
          </w:rPr>
          <w:t xml:space="preserve">5.1.4 Option D</w:t>
        </w:r>
      </w:hyperlink>
      <w:r>
        <w:br/>
      </w:r>
      <w:r>
        <w:t xml:space="preserve">    </w:t>
      </w:r>
      <w:hyperlink w:anchor="additional-services-to-be-deployed">
        <w:r>
          <w:rPr>
            <w:rStyle w:val="Hyperlink"/>
          </w:rPr>
          <w:t xml:space="preserve">5.2 Additional services to be deployed</w:t>
        </w:r>
      </w:hyperlink>
      <w:r>
        <w:br/>
      </w:r>
      <w:r>
        <w:t xml:space="preserve">        </w:t>
      </w:r>
      <w:hyperlink w:anchor="swarm-computing-services">
        <w:r>
          <w:rPr>
            <w:rStyle w:val="Hyperlink"/>
          </w:rPr>
          <w:t xml:space="preserve">5.2.1 Swarm Computing Services</w:t>
        </w:r>
      </w:hyperlink>
      <w:r>
        <w:br/>
      </w:r>
      <w:r>
        <w:t xml:space="preserve">        [5.2.2 Federated Learning Services]</w:t>
      </w:r>
      <w:r>
        <w:br/>
      </w:r>
      <w:hyperlink w:anchor="X29314779746f914c4ce4a3f71471ace37ca4372">
        <w:r>
          <w:rPr>
            <w:rStyle w:val="Hyperlink"/>
          </w:rPr>
          <w:t xml:space="preserve">6 Potential impacts for Interworking with ETSI MEC</w:t>
        </w:r>
      </w:hyperlink>
      <w:r>
        <w:br/>
      </w:r>
      <w:hyperlink w:anchor="X8f68c130cc7d8c06bd935a465f3c81a4f1de217">
        <w:r>
          <w:rPr>
            <w:rStyle w:val="Hyperlink"/>
          </w:rPr>
          <w:t xml:space="preserve">7 Potential solutions for Interworking with ETSI MEC</w:t>
        </w:r>
      </w:hyperlink>
      <w:r>
        <w:br/>
      </w:r>
      <w:r>
        <w:t xml:space="preserve">    [7.1 feature/services using oneM2M with ETSI MEC]</w:t>
      </w:r>
      <w:r>
        <w:br/>
      </w:r>
      <w:r>
        <w:t xml:space="preserve">        </w:t>
      </w:r>
      <w:hyperlink w:anchor="description">
        <w:r>
          <w:rPr>
            <w:rStyle w:val="Hyperlink"/>
          </w:rPr>
          <w:t xml:space="preserve">7.1.1 Description</w:t>
        </w:r>
      </w:hyperlink>
      <w:r>
        <w:br/>
      </w:r>
      <w:r>
        <w:t xml:space="preserve">        [7.1.2 Feature Gap Analysis]</w:t>
      </w:r>
      <w:r>
        <w:br/>
      </w:r>
      <w:r>
        <w:t xml:space="preserve">        [7.1.3 Key Issues and requirements]</w:t>
      </w:r>
      <w:r>
        <w:br/>
      </w:r>
      <w:r>
        <w:t xml:space="preserve">        [7.1.4 Solution #n]</w:t>
      </w:r>
      <w:r>
        <w:br/>
      </w:r>
      <w:r>
        <w:t xml:space="preserve">    </w:t>
      </w:r>
      <w:hyperlink w:anchor="registration-of-onem2m-to-etsi-mec">
        <w:r>
          <w:rPr>
            <w:rStyle w:val="Hyperlink"/>
          </w:rPr>
          <w:t xml:space="preserve">7.1 Registration of oneM2M to ETSI MEC</w:t>
        </w:r>
      </w:hyperlink>
      <w:r>
        <w:br/>
      </w:r>
      <w:r>
        <w:t xml:space="preserve">        </w:t>
      </w:r>
      <w:hyperlink w:anchor="description">
        <w:r>
          <w:rPr>
            <w:rStyle w:val="Hyperlink"/>
          </w:rPr>
          <w:t xml:space="preserve">7.1.1 Description</w:t>
        </w:r>
      </w:hyperlink>
      <w:r>
        <w:br/>
      </w:r>
      <w:r>
        <w:t xml:space="preserve">        [7.1.2 Feature Gap Analysis]</w:t>
      </w:r>
      <w:r>
        <w:br/>
      </w:r>
      <w:r>
        <w:t xml:space="preserve">        [7.1.3 Key Issues and requirements]</w:t>
      </w:r>
      <w:r>
        <w:br/>
      </w:r>
      <w:r>
        <w:t xml:space="preserve">        [7.1.4 Solution 1: Registering IPE AE]</w:t>
      </w:r>
      <w:r>
        <w:br/>
      </w:r>
      <w:r>
        <w:t xml:space="preserve">        [7.1.5 Solution 2: Registering IN-CSE to MEC hosted IPE AE]</w:t>
      </w:r>
      <w:r>
        <w:br/>
      </w:r>
      <w:r>
        <w:t xml:space="preserve">        [7.1.6 Solution 3: Registering MN-CSE to MEC on separate platform]</w:t>
      </w:r>
      <w:r>
        <w:br/>
      </w:r>
      <w:r>
        <w:t xml:space="preserve">        [7.1.7 Solution 4: Registering MN-CSE as MEC application]</w:t>
      </w:r>
      <w:r>
        <w:br/>
      </w:r>
      <w:r>
        <w:t xml:space="preserve">        [7.1.8 Solution 5: Integrating oneM2M as a MEC service]</w:t>
      </w:r>
      <w:r>
        <w:br/>
      </w:r>
      <w:r>
        <w:t xml:space="preserve">    </w:t>
      </w:r>
      <w:hyperlink w:anchor="X0d43e36fbbcc45fbd7a9915b42f91164767fbea">
        <w:r>
          <w:rPr>
            <w:rStyle w:val="Hyperlink"/>
          </w:rPr>
          <w:t xml:space="preserve">7.2 Transfer registration from oneM2M host on a first MEC platform to another second MEC Platform</w:t>
        </w:r>
      </w:hyperlink>
      <w:r>
        <w:br/>
      </w:r>
      <w:r>
        <w:t xml:space="preserve">        </w:t>
      </w:r>
      <w:hyperlink w:anchor="description-1">
        <w:r>
          <w:rPr>
            <w:rStyle w:val="Hyperlink"/>
          </w:rPr>
          <w:t xml:space="preserve">7.2.1 Description</w:t>
        </w:r>
      </w:hyperlink>
      <w:r>
        <w:br/>
      </w:r>
      <w:r>
        <w:t xml:space="preserve">        </w:t>
      </w:r>
      <w:hyperlink w:anchor="feature-gap-analysis">
        <w:r>
          <w:rPr>
            <w:rStyle w:val="Hyperlink"/>
          </w:rPr>
          <w:t xml:space="preserve">7.2.2 Feature Gap Analysis</w:t>
        </w:r>
      </w:hyperlink>
      <w:r>
        <w:br/>
      </w:r>
      <w:r>
        <w:t xml:space="preserve">        </w:t>
      </w:r>
      <w:hyperlink w:anchor="key-issues-and-requirements">
        <w:r>
          <w:rPr>
            <w:rStyle w:val="Hyperlink"/>
          </w:rPr>
          <w:t xml:space="preserve">7.2.3 Key Issues and requirements</w:t>
        </w:r>
      </w:hyperlink>
      <w:r>
        <w:br/>
      </w:r>
      <w:r>
        <w:t xml:space="preserve">        </w:t>
      </w:r>
      <w:hyperlink w:anchor="solution-n">
        <w:r>
          <w:rPr>
            <w:rStyle w:val="Hyperlink"/>
          </w:rPr>
          <w:t xml:space="preserve">7.2.4 Solution #n</w:t>
        </w:r>
      </w:hyperlink>
      <w:r>
        <w:br/>
      </w:r>
      <w:r>
        <w:t xml:space="preserve">    </w:t>
      </w:r>
      <w:hyperlink w:anchor="coordinate-federated-learning">
        <w:r>
          <w:rPr>
            <w:rStyle w:val="Hyperlink"/>
          </w:rPr>
          <w:t xml:space="preserve">7.3 Coordinate Federated Learning</w:t>
        </w:r>
      </w:hyperlink>
      <w:r>
        <w:br/>
      </w:r>
      <w:r>
        <w:t xml:space="preserve">        </w:t>
      </w:r>
      <w:hyperlink w:anchor="description-2">
        <w:r>
          <w:rPr>
            <w:rStyle w:val="Hyperlink"/>
          </w:rPr>
          <w:t xml:space="preserve">7.3.1 Description</w:t>
        </w:r>
      </w:hyperlink>
      <w:r>
        <w:br/>
      </w:r>
      <w:r>
        <w:t xml:space="preserve">        </w:t>
      </w:r>
      <w:hyperlink w:anchor="feature-gap-analysis-1">
        <w:r>
          <w:rPr>
            <w:rStyle w:val="Hyperlink"/>
          </w:rPr>
          <w:t xml:space="preserve">7.3.2 Feature Gap Analysis</w:t>
        </w:r>
      </w:hyperlink>
      <w:r>
        <w:br/>
      </w:r>
      <w:r>
        <w:t xml:space="preserve">        </w:t>
      </w:r>
      <w:hyperlink w:anchor="key-issues-and-requirements-1">
        <w:r>
          <w:rPr>
            <w:rStyle w:val="Hyperlink"/>
          </w:rPr>
          <w:t xml:space="preserve">7.3.3 Key Issues and requirements</w:t>
        </w:r>
      </w:hyperlink>
      <w:r>
        <w:br/>
      </w:r>
      <w:r>
        <w:t xml:space="preserve">        </w:t>
      </w:r>
      <w:hyperlink w:anchor="solution-n-1">
        <w:r>
          <w:rPr>
            <w:rStyle w:val="Hyperlink"/>
          </w:rPr>
          <w:t xml:space="preserve">7.3.4 Solution #n</w:t>
        </w:r>
      </w:hyperlink>
      <w:r>
        <w:br/>
      </w:r>
      <w:r>
        <w:t xml:space="preserve">    </w:t>
      </w:r>
      <w:hyperlink w:anchor="coordinate-swarm-computing">
        <w:r>
          <w:rPr>
            <w:rStyle w:val="Hyperlink"/>
          </w:rPr>
          <w:t xml:space="preserve">7.4 Coordinate Swarm computing</w:t>
        </w:r>
      </w:hyperlink>
      <w:r>
        <w:br/>
      </w:r>
      <w:r>
        <w:t xml:space="preserve">        </w:t>
      </w:r>
      <w:hyperlink w:anchor="description-3">
        <w:r>
          <w:rPr>
            <w:rStyle w:val="Hyperlink"/>
          </w:rPr>
          <w:t xml:space="preserve">7.4.1 Description</w:t>
        </w:r>
      </w:hyperlink>
      <w:r>
        <w:br/>
      </w:r>
      <w:r>
        <w:t xml:space="preserve">        </w:t>
      </w:r>
      <w:hyperlink w:anchor="feature-gap-analysis-2">
        <w:r>
          <w:rPr>
            <w:rStyle w:val="Hyperlink"/>
          </w:rPr>
          <w:t xml:space="preserve">7.4.2 Feature Gap Analysis</w:t>
        </w:r>
      </w:hyperlink>
      <w:r>
        <w:br/>
      </w:r>
      <w:r>
        <w:t xml:space="preserve">        </w:t>
      </w:r>
      <w:hyperlink w:anchor="key-issues-and-requirements-2">
        <w:r>
          <w:rPr>
            <w:rStyle w:val="Hyperlink"/>
          </w:rPr>
          <w:t xml:space="preserve">7.4.3 Key Issues and requirements</w:t>
        </w:r>
      </w:hyperlink>
      <w:r>
        <w:br/>
      </w:r>
      <w:r>
        <w:t xml:space="preserve">        </w:t>
      </w:r>
      <w:hyperlink w:anchor="solution-n-2">
        <w:r>
          <w:rPr>
            <w:rStyle w:val="Hyperlink"/>
          </w:rPr>
          <w:t xml:space="preserve">7.4.4 Solution #n</w:t>
        </w:r>
      </w:hyperlink>
      <w:r>
        <w:br/>
      </w:r>
      <w:r>
        <w:t xml:space="preserve">[Proforma copyright release text block]</w:t>
      </w:r>
      <w:r>
        <w:br/>
      </w:r>
      <w:r>
        <w:t xml:space="preserve">    [Annexes]</w:t>
      </w:r>
      <w:r>
        <w:br/>
      </w:r>
      <w:r>
        <w:t xml:space="preserve">[Annex &lt;A&gt;:Title of annex]</w:t>
      </w:r>
      <w:r>
        <w:br/>
      </w:r>
      <w:r>
        <w:t xml:space="preserve">[Annex &lt;B&gt;:Title of annex]</w:t>
      </w:r>
      <w:r>
        <w:br/>
      </w:r>
      <w:r>
        <w:t xml:space="preserve">    [ First clause of the annex]</w:t>
      </w:r>
      <w:r>
        <w:br/>
      </w:r>
      <w:r>
        <w:t xml:space="preserve">        </w:t>
      </w:r>
      <w:hyperlink w:anchor="Xe3370b47c86688ba84b7fc63c3002b536b46f91">
        <w:r>
          <w:rPr>
            <w:rStyle w:val="Hyperlink"/>
          </w:rPr>
          <w:t xml:space="preserve">B.1.1 First subdivided clause of the annex</w:t>
        </w:r>
      </w:hyperlink>
      <w:r>
        <w:br/>
      </w:r>
      <w:r>
        <w:t xml:space="preserve">[Annex &lt;y&gt;:Bibliography]</w:t>
      </w:r>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w:t>
      </w:r>
    </w:p>
    <w:p>
      <w:pPr>
        <w:pStyle w:val="BodyText"/>
      </w:pPr>
      <w:r>
        <w:rPr>
          <w:rStyle w:val="VerbatimChar"/>
        </w:rPr>
        <w:t xml:space="preserve">EXAMPLE:    The present document provides the necessary adaptions to the endorsed document.</w:t>
      </w:r>
    </w:p>
    <w:p>
      <w:pPr>
        <w:pStyle w:val="BodyText"/>
      </w:pPr>
      <w:r>
        <w:t xml:space="preserve">The Scope shall not contain requirements.</w:t>
      </w:r>
    </w:p>
    <w:bookmarkEnd w:id="24"/>
    <w:bookmarkStart w:id="28" w:name="references"/>
    <w:p>
      <w:pPr>
        <w:pStyle w:val="Heading1"/>
      </w:pPr>
      <w:r>
        <w:t xml:space="preserve">2 References</w:t>
      </w:r>
    </w:p>
    <w:p>
      <w:pPr>
        <w:pStyle w:val="FirstParagraph"/>
      </w:pPr>
      <w:r>
        <w:t xml:space="preserve">The following text block applies.</w:t>
      </w:r>
    </w:p>
    <w:p>
      <w:pPr>
        <w:pStyle w:val="BodyText"/>
      </w:pPr>
      <w:r>
        <w:t xml:space="preserve">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bookmarkStart w:id="25" w:name="normative-references"/>
    <w:p>
      <w:pPr>
        <w:pStyle w:val="Heading2"/>
      </w:pPr>
      <w:r>
        <w:t xml:space="preserve">2.1 Normative references</w:t>
      </w:r>
    </w:p>
    <w:p>
      <w:pPr>
        <w:pStyle w:val="FirstParagraph"/>
      </w:pPr>
      <w:r>
        <w:t xml:space="preserve">As a Technical Report (TR) is entirely informative it shall not list normative references.</w:t>
      </w:r>
    </w:p>
    <w:p>
      <w:pPr>
        <w:pStyle w:val="BodyText"/>
      </w:pPr>
      <w:r>
        <w:t xml:space="preserve">The following referenced documents are necessary for the application of the present document.</w:t>
      </w:r>
    </w:p>
    <w:p>
      <w:pPr>
        <w:pStyle w:val="BodyText"/>
      </w:pPr>
      <w:r>
        <w:t xml:space="preserve">Not applicable.</w:t>
      </w:r>
    </w:p>
    <w:bookmarkEnd w:id="25"/>
    <w:bookmarkStart w:id="27" w:name="informative-references"/>
    <w:p>
      <w:pPr>
        <w:pStyle w:val="Heading2"/>
      </w:pPr>
      <w:r>
        <w:t xml:space="preserve">2.2 Informative references</w:t>
      </w:r>
    </w:p>
    <w:p>
      <w:pPr>
        <w:pStyle w:val="FirstParagraph"/>
      </w:pPr>
      <w:r>
        <w:t xml:space="preserve">Clause 2.2 shall only contain informative references which are cited in the document itself.</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2"/>
        </w:numPr>
      </w:pPr>
      <w:r>
        <w:t xml:space="preserve">[i.1]</w:t>
      </w:r>
      <w:r>
        <w:t xml:space="preserve"> </w:t>
      </w:r>
      <w:r>
        <w:t xml:space="preserve">oneM2M Drafting Rules</w:t>
      </w:r>
      <w:r>
        <w:t xml:space="preserve"> </w:t>
      </w:r>
      <w:hyperlink r:id="rId26">
        <w:r>
          <w:rPr>
            <w:rStyle w:val="Hyperlink"/>
          </w:rPr>
          <w:t xml:space="preserve">https://member.onem2m.org/static_Pages/others/Rules_Pages/oneM2M-Drafting-Rules-V1%202%202.doc</w:t>
        </w:r>
      </w:hyperlink>
    </w:p>
    <w:bookmarkEnd w:id="27"/>
    <w:bookmarkEnd w:id="28"/>
    <w:bookmarkStart w:id="32" w:name="Xe254da9c2f303321d6c9a4dcbd53386c9eebb59"/>
    <w:p>
      <w:pPr>
        <w:pStyle w:val="Heading1"/>
      </w:pPr>
      <w:r>
        <w:t xml:space="preserve">3 Definition of terms, symbols and abbreviations</w:t>
      </w:r>
    </w:p>
    <w:p>
      <w:pPr>
        <w:pStyle w:val="FirstParagraph"/>
      </w:pPr>
      <w:r>
        <w:t xml:space="preserve">Delete from the above heading the word(s) which is/are not applicable.</w:t>
      </w:r>
    </w:p>
    <w:bookmarkStart w:id="29" w:name="terms"/>
    <w:p>
      <w:pPr>
        <w:pStyle w:val="Heading2"/>
      </w:pPr>
      <w:r>
        <w:t xml:space="preserve">3.1 Terms</w:t>
      </w:r>
    </w:p>
    <w:p>
      <w:pPr>
        <w:pStyle w:val="FirstParagraph"/>
      </w:pPr>
      <w:r>
        <w:t xml:space="preserve">Clause numbering depends on applicability.</w:t>
      </w:r>
    </w:p>
    <w:p>
      <w:pPr>
        <w:pStyle w:val="Compact"/>
        <w:numPr>
          <w:ilvl w:val="0"/>
          <w:numId w:val="1003"/>
        </w:numPr>
      </w:pPr>
      <w:r>
        <w:t xml:space="preserve">A definition shall not take the form of, or contain, a requirement.</w:t>
      </w:r>
    </w:p>
    <w:p>
      <w:pPr>
        <w:pStyle w:val="Compact"/>
        <w:numPr>
          <w:ilvl w:val="0"/>
          <w:numId w:val="1003"/>
        </w:numPr>
      </w:pPr>
      <w:r>
        <w:t xml:space="preserve">The form of a definition shall be such that it can replace the term in context. Additional information shall be given only in the form of examples or notes (see below).</w:t>
      </w:r>
    </w:p>
    <w:p>
      <w:pPr>
        <w:pStyle w:val="Compact"/>
        <w:numPr>
          <w:ilvl w:val="0"/>
          <w:numId w:val="1003"/>
        </w:numPr>
      </w:pPr>
      <w:r>
        <w:t xml:space="preserve">The terms and definitions shall be presented in alphabetical order.</w:t>
      </w:r>
    </w:p>
    <w:p>
      <w:pPr>
        <w:pStyle w:val="FirstParagraph"/>
      </w:pPr>
      <w:r>
        <w:t xml:space="preserve">For the purposes of the present document, the [following] terms and definitions [given in … and the following] apply:</w:t>
      </w:r>
    </w:p>
    <w:p>
      <w:pPr>
        <w:pStyle w:val="BodyText"/>
      </w:pPr>
      <w:r>
        <w:t xml:space="preserve">Definition format</w:t>
      </w:r>
    </w:p>
    <w:p>
      <w:pPr>
        <w:pStyle w:val="BodyText"/>
      </w:pPr>
      <w:r>
        <w:t xml:space="preserve">&lt;defined term&gt;: &lt;definition&gt;</w:t>
      </w:r>
    </w:p>
    <w:p>
      <w:pPr>
        <w:pStyle w:val="BodyText"/>
      </w:pPr>
      <w:r>
        <w:t xml:space="preserve">If a definition is taken from an external source, use the format below where [N] identifies the external document which must be listed in Section 2 References.</w:t>
      </w:r>
    </w:p>
    <w:p>
      <w:pPr>
        <w:pStyle w:val="BodyText"/>
      </w:pPr>
      <w:r>
        <w:t xml:space="preserve">&lt;defined term&gt;[N]: &lt;definition&gt;</w:t>
      </w:r>
    </w:p>
    <w:p>
      <w:pPr>
        <w:pStyle w:val="BodyText"/>
      </w:pPr>
      <w:r>
        <w:t xml:space="preserve">example 1: text used to clarify abstract rules by applying them literally</w:t>
      </w:r>
    </w:p>
    <w:p>
      <w:pPr>
        <w:pStyle w:val="BlockText"/>
      </w:pPr>
      <w:r>
        <w:t xml:space="preserve">NOTE: This may contain additional information.</w:t>
      </w:r>
    </w:p>
    <w:bookmarkEnd w:id="29"/>
    <w:bookmarkStart w:id="30" w:name="symbols"/>
    <w:p>
      <w:pPr>
        <w:pStyle w:val="Heading2"/>
      </w:pPr>
      <w:r>
        <w:t xml:space="preserve">3.2 Symbols</w:t>
      </w:r>
    </w:p>
    <w:p>
      <w:pPr>
        <w:pStyle w:val="FirstParagraph"/>
      </w:pPr>
      <w:r>
        <w:t xml:space="preserve">Clause numbering depends on applicability.</w:t>
      </w:r>
    </w:p>
    <w:p>
      <w:pPr>
        <w:pStyle w:val="BodyText"/>
      </w:pPr>
      <w:r>
        <w:t xml:space="preserve">For the purposes of the present document, the [following] symbols [given in … and the following] apply:</w:t>
      </w:r>
    </w:p>
    <w:p>
      <w:pPr>
        <w:pStyle w:val="BodyText"/>
      </w:pPr>
      <w:r>
        <w:t xml:space="preserve">Symbol format</w:t>
      </w:r>
    </w:p>
    <w:p>
      <w:pPr>
        <w:pStyle w:val="BodyText"/>
      </w:pPr>
      <w:r>
        <w:rPr>
          <w:rStyle w:val="VerbatimChar"/>
        </w:rPr>
        <w:t xml:space="preserve">&amp;lt;symbol&gt;    &amp;lt;Explanation&gt;</w:t>
      </w:r>
      <w:r>
        <w:br/>
      </w:r>
      <w:r>
        <w:rPr>
          <w:rStyle w:val="VerbatimChar"/>
        </w:rPr>
        <w:t xml:space="preserve">&amp;lt;2nd symbol&gt;    &amp;lt;2nd Explanation&gt;</w:t>
      </w:r>
      <w:r>
        <w:br/>
      </w:r>
      <w:r>
        <w:rPr>
          <w:rStyle w:val="VerbatimChar"/>
        </w:rPr>
        <w:t xml:space="preserve">&amp;lt;3rd symbol&gt;    &amp;lt;3rd Explanation&gt;</w:t>
      </w:r>
    </w:p>
    <w:bookmarkEnd w:id="30"/>
    <w:bookmarkStart w:id="31" w:name="abbreviations"/>
    <w:p>
      <w:pPr>
        <w:pStyle w:val="Heading2"/>
      </w:pPr>
      <w:r>
        <w:t xml:space="preserve">3.3 Abbreviations</w:t>
      </w:r>
    </w:p>
    <w:p>
      <w:pPr>
        <w:pStyle w:val="FirstParagraph"/>
      </w:pPr>
      <w:r>
        <w:t xml:space="preserve">Abbreviations should be ordered alphabetically.</w:t>
      </w:r>
    </w:p>
    <w:p>
      <w:pPr>
        <w:pStyle w:val="BodyText"/>
      </w:pPr>
      <w:r>
        <w:t xml:space="preserve">Clause numbering depends on applicability.</w:t>
      </w:r>
    </w:p>
    <w:p>
      <w:pPr>
        <w:pStyle w:val="BodyText"/>
      </w:pPr>
      <w:r>
        <w:t xml:space="preserve">For the purposes of the present document, the [following] abbreviations [given in … and the following] apply:</w:t>
      </w:r>
    </w:p>
    <w:p>
      <w:pPr>
        <w:pStyle w:val="BodyText"/>
      </w:pPr>
      <w:r>
        <w:t xml:space="preserve">Abbreviation format</w:t>
      </w:r>
    </w:p>
    <w:p>
      <w:pPr>
        <w:pStyle w:val="BodyText"/>
      </w:pPr>
      <w:r>
        <w:rPr>
          <w:rStyle w:val="VerbatimChar"/>
        </w:rPr>
        <w:t xml:space="preserve">&amp;lt;ABBREVIATION1&gt;    &amp;lt;Explanation&gt;</w:t>
      </w:r>
      <w:r>
        <w:br/>
      </w:r>
      <w:r>
        <w:rPr>
          <w:rStyle w:val="VerbatimChar"/>
        </w:rPr>
        <w:t xml:space="preserve">&amp;lt;ABBREVIATION2&gt;    &amp;lt;Explanation&gt;</w:t>
      </w:r>
      <w:r>
        <w:br/>
      </w:r>
      <w:r>
        <w:rPr>
          <w:rStyle w:val="VerbatimChar"/>
        </w:rPr>
        <w:t xml:space="preserve">&amp;lt;ABBREVIATION3&gt;    &amp;lt;Explanation&gt;</w:t>
      </w:r>
    </w:p>
    <w:bookmarkEnd w:id="31"/>
    <w:bookmarkEnd w:id="32"/>
    <w:bookmarkStart w:id="33"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this document are to be interpreted as described in the oneM2M Drafting Rules</w:t>
      </w:r>
      <w:r>
        <w:t xml:space="preserve"> </w:t>
      </w:r>
      <w:r>
        <w:t xml:space="preserve">[i.1]</w:t>
      </w:r>
    </w:p>
    <w:bookmarkEnd w:id="33"/>
    <w:bookmarkStart w:id="53" w:name="X6a533ea1c410e3874912b18ac8666d87b5cb828"/>
    <w:p>
      <w:pPr>
        <w:pStyle w:val="Heading1"/>
      </w:pPr>
      <w:r>
        <w:t xml:space="preserve">5 Introduction to Interworking with ETSI MEC</w:t>
      </w:r>
    </w:p>
    <w:p>
      <w:pPr>
        <w:pStyle w:val="FirstParagraph"/>
      </w:pPr>
      <w:r>
        <w:t xml:space="preserve">Interworking oneM2M with ETSI MEC aims to add capabilities that enable hosting a (potentially more than one) oneM2M CSE as well as IPE AE’s (as needed) on an edge platform. This will allow oneM2M to leverage recent capabilities that focus on edge platforms that can perform complex processing and reduce end-to-end latency and throughput.</w:t>
      </w:r>
      <w:r>
        <w:t xml:space="preserve"> </w:t>
      </w:r>
      <w:r>
        <w:t xml:space="preserve">The document describes services that are exposed by ETSI MEC and additional new features that are defined to offer enhanced services from oneM2M and ETSI MEC.</w:t>
      </w:r>
    </w:p>
    <w:bookmarkStart w:id="50" w:name="deploying-onem2m-with-etsi-mec"/>
    <w:p>
      <w:pPr>
        <w:pStyle w:val="Heading2"/>
      </w:pPr>
      <w:r>
        <w:t xml:space="preserve">5.1 Deploying oneM2M with ETSI MEC</w:t>
      </w:r>
    </w:p>
    <w:p>
      <w:pPr>
        <w:pStyle w:val="FirstParagraph"/>
      </w:pPr>
      <w:r>
        <w:t xml:space="preserve"> </w:t>
      </w:r>
      <w:r>
        <w:t xml:space="preserve">Introduction of 4 deployment options which basic architectur</w:t>
      </w:r>
    </w:p>
    <w:p>
      <w:pPr>
        <w:pStyle w:val="BodyText"/>
      </w:pPr>
      <w:r>
        <w:t xml:space="preserve">The services in this clause are fundamentally based on an edge computing compliant deployment, where oneM2M and ETSI MEC platforms are central to the architecture. Such an integration can consider several deployment options, each presenting distinct technical and business implications. In June 2023, oneM2M and ETSI MEC collaboratively developed a white paper titled</w:t>
      </w:r>
      <w:r>
        <w:t xml:space="preserve"> </w:t>
      </w:r>
      <w:r>
        <w:t xml:space="preserve">“Enabling Multi-access Edge Computing in Internet-of-Things: how to deploy ETSI MEC and oneM2M.”</w:t>
      </w:r>
      <w:r>
        <w:t xml:space="preserve"> </w:t>
      </w:r>
      <w:r>
        <w:t xml:space="preserve">[i.15]</w:t>
      </w:r>
      <w:r>
        <w:t xml:space="preserve"> </w:t>
      </w:r>
      <w:r>
        <w:t xml:space="preserve">This white paper proposes four distinct deployment options for how oneM2M and MEC can be integrated and operated.</w:t>
      </w:r>
    </w:p>
    <w:bookmarkStart w:id="37" w:name="option-a"/>
    <w:p>
      <w:pPr>
        <w:pStyle w:val="Heading3"/>
      </w:pPr>
      <w:r>
        <w:t xml:space="preserve">5.1.1 Option A</w:t>
      </w:r>
    </w:p>
    <w:p>
      <w:pPr>
        <w:pStyle w:val="FirstParagraph"/>
      </w:pPr>
      <w:r>
        <w:t xml:space="preserve">oneM2M CSE is deployed in a cloud platform and MEC in an Edge platform. This deployment scenario positions the IoT platform itself primarily on the cloud side, with MEC functioning at the edge. It represents one of the most common deployment configurations for cloud-based IoT platforms integrating with edge computing. While it allows for some benefits of edge computing through localized network and processing, it doesn’t fully leverage the advantages of a 100% edge computing environment, as the cloud remains the ultimate endpoint for data storage and management.</w:t>
      </w:r>
    </w:p>
    <w:p>
      <w:pPr>
        <w:pStyle w:val="BodyText"/>
      </w:pPr>
      <w:r>
        <w:t xml:space="preserve"> </w:t>
      </w:r>
      <w:r>
        <w:t xml:space="preserve">architecture may require an IPE to convert from MEC api to oneM2M primitives</w:t>
      </w:r>
    </w:p>
    <w:p>
      <w:pPr>
        <w:pStyle w:val="CaptionedFigure"/>
      </w:pPr>
      <w:r>
        <w:drawing>
          <wp:inline>
            <wp:extent cx="2233061" cy="3311090"/>
            <wp:effectExtent b="0" l="0" r="0" t="0"/>
            <wp:docPr descr="Deployment A" title="" id="35" name="Picture"/>
            <a:graphic>
              <a:graphicData uri="http://schemas.openxmlformats.org/drawingml/2006/picture">
                <pic:pic>
                  <pic:nvPicPr>
                    <pic:cNvPr descr="media/oneM2M_MEC_deployment_A.png" id="36" name="Picture"/>
                    <pic:cNvPicPr>
                      <a:picLocks noChangeArrowheads="1" noChangeAspect="1"/>
                    </pic:cNvPicPr>
                  </pic:nvPicPr>
                  <pic:blipFill>
                    <a:blip r:embed="rId34"/>
                    <a:stretch>
                      <a:fillRect/>
                    </a:stretch>
                  </pic:blipFill>
                  <pic:spPr bwMode="auto">
                    <a:xfrm>
                      <a:off x="0" y="0"/>
                      <a:ext cx="2233061" cy="3311090"/>
                    </a:xfrm>
                    <a:prstGeom prst="rect">
                      <a:avLst/>
                    </a:prstGeom>
                    <a:noFill/>
                    <a:ln w="9525">
                      <a:noFill/>
                      <a:headEnd/>
                      <a:tailEnd/>
                    </a:ln>
                  </pic:spPr>
                </pic:pic>
              </a:graphicData>
            </a:graphic>
          </wp:inline>
        </w:drawing>
      </w:r>
    </w:p>
    <w:p>
      <w:pPr>
        <w:pStyle w:val="ImageCaption"/>
      </w:pPr>
      <w:r>
        <w:t xml:space="preserve">Deployment A</w:t>
      </w:r>
    </w:p>
    <w:bookmarkEnd w:id="37"/>
    <w:bookmarkStart w:id="41" w:name="option-b"/>
    <w:p>
      <w:pPr>
        <w:pStyle w:val="Heading3"/>
      </w:pPr>
      <w:r>
        <w:t xml:space="preserve">5.1.2 Option B</w:t>
      </w:r>
    </w:p>
    <w:p>
      <w:pPr>
        <w:pStyle w:val="FirstParagraph"/>
      </w:pPr>
      <w:r>
        <w:t xml:space="preserve">oneM2M CSE and MEC as Edge Nodes hosted on different physical Nodes. In this option, both oneM2M and MEC are deployed as edge nodes, but they reside on physically separate edge hardware. Compared to Option A, this setup allows for all data and information exchange between oneM2M and MEC to be performed locally at the edge, resulting in faster processing. Despite oneM2M IoT service providers and ETSI MEC entities potentially being distinct, this scenario is viable, particularly in the nascent stages of the edge computing market.</w:t>
      </w:r>
    </w:p>
    <w:p>
      <w:pPr>
        <w:pStyle w:val="CaptionedFigure"/>
      </w:pPr>
      <w:r>
        <w:drawing>
          <wp:inline>
            <wp:extent cx="2261936" cy="3311090"/>
            <wp:effectExtent b="0" l="0" r="0" t="0"/>
            <wp:docPr descr="Deployment B" title="" id="39" name="Picture"/>
            <a:graphic>
              <a:graphicData uri="http://schemas.openxmlformats.org/drawingml/2006/picture">
                <pic:pic>
                  <pic:nvPicPr>
                    <pic:cNvPr descr="media/oneM2M_MEC_deployment_B.png" id="40" name="Picture"/>
                    <pic:cNvPicPr>
                      <a:picLocks noChangeArrowheads="1" noChangeAspect="1"/>
                    </pic:cNvPicPr>
                  </pic:nvPicPr>
                  <pic:blipFill>
                    <a:blip r:embed="rId38"/>
                    <a:stretch>
                      <a:fillRect/>
                    </a:stretch>
                  </pic:blipFill>
                  <pic:spPr bwMode="auto">
                    <a:xfrm>
                      <a:off x="0" y="0"/>
                      <a:ext cx="2261936" cy="3311090"/>
                    </a:xfrm>
                    <a:prstGeom prst="rect">
                      <a:avLst/>
                    </a:prstGeom>
                    <a:noFill/>
                    <a:ln w="9525">
                      <a:noFill/>
                      <a:headEnd/>
                      <a:tailEnd/>
                    </a:ln>
                  </pic:spPr>
                </pic:pic>
              </a:graphicData>
            </a:graphic>
          </wp:inline>
        </w:drawing>
      </w:r>
    </w:p>
    <w:p>
      <w:pPr>
        <w:pStyle w:val="ImageCaption"/>
      </w:pPr>
      <w:r>
        <w:t xml:space="preserve">Deployment B</w:t>
      </w:r>
    </w:p>
    <w:bookmarkEnd w:id="41"/>
    <w:bookmarkStart w:id="45" w:name="option-c"/>
    <w:p>
      <w:pPr>
        <w:pStyle w:val="Heading3"/>
      </w:pPr>
      <w:r>
        <w:t xml:space="preserve">5.1.3 Option C</w:t>
      </w:r>
    </w:p>
    <w:p>
      <w:pPr>
        <w:pStyle w:val="FirstParagraph"/>
      </w:pPr>
      <w:r>
        <w:t xml:space="preserve">oneM2M and MEC are deployed on the same physical Edge Node. This scenario involves the oneM2M and MEC platforms being installed and operated on the very same physical edge node. This co-location can significantly enhance service performance by eliminating unnecessary data and information exchange between separate nodes.</w:t>
      </w:r>
      <w:r>
        <w:t xml:space="preserve"> </w:t>
      </w:r>
      <w:r>
        <w:t xml:space="preserve">Implementing this option typically necessitates a Service Level Agreement (SLA) between the respective platform providers</w:t>
      </w:r>
      <w:r>
        <w:t xml:space="preserve">, and both platforms must support dynamic deployment capabilities across various edge nodes.</w:t>
      </w:r>
    </w:p>
    <w:p>
      <w:pPr>
        <w:pStyle w:val="CaptionedFigure"/>
      </w:pPr>
      <w:r>
        <w:drawing>
          <wp:inline>
            <wp:extent cx="2300437" cy="3311090"/>
            <wp:effectExtent b="0" l="0" r="0" t="0"/>
            <wp:docPr descr="Deployment C" title="" id="43" name="Picture"/>
            <a:graphic>
              <a:graphicData uri="http://schemas.openxmlformats.org/drawingml/2006/picture">
                <pic:pic>
                  <pic:nvPicPr>
                    <pic:cNvPr descr="media/oneM2M_MEC_deployment_C.png" id="44" name="Picture"/>
                    <pic:cNvPicPr>
                      <a:picLocks noChangeArrowheads="1" noChangeAspect="1"/>
                    </pic:cNvPicPr>
                  </pic:nvPicPr>
                  <pic:blipFill>
                    <a:blip r:embed="rId42"/>
                    <a:stretch>
                      <a:fillRect/>
                    </a:stretch>
                  </pic:blipFill>
                  <pic:spPr bwMode="auto">
                    <a:xfrm>
                      <a:off x="0" y="0"/>
                      <a:ext cx="2300437" cy="3311090"/>
                    </a:xfrm>
                    <a:prstGeom prst="rect">
                      <a:avLst/>
                    </a:prstGeom>
                    <a:noFill/>
                    <a:ln w="9525">
                      <a:noFill/>
                      <a:headEnd/>
                      <a:tailEnd/>
                    </a:ln>
                  </pic:spPr>
                </pic:pic>
              </a:graphicData>
            </a:graphic>
          </wp:inline>
        </w:drawing>
      </w:r>
    </w:p>
    <w:p>
      <w:pPr>
        <w:pStyle w:val="ImageCaption"/>
      </w:pPr>
      <w:r>
        <w:t xml:space="preserve">Deployment C</w:t>
      </w:r>
    </w:p>
    <w:bookmarkEnd w:id="45"/>
    <w:bookmarkStart w:id="49" w:name="option-d"/>
    <w:p>
      <w:pPr>
        <w:pStyle w:val="Heading3"/>
      </w:pPr>
      <w:r>
        <w:t xml:space="preserve">5.1.4 Option D</w:t>
      </w:r>
    </w:p>
    <w:p>
      <w:pPr>
        <w:pStyle w:val="FirstParagraph"/>
      </w:pPr>
      <w:r>
        <w:t xml:space="preserve">oneM2M and ETSI MEC are tightly coupled within the same edge node. This represents the deepest level of integration, where oneM2M and MEC platforms are physically coupled, often through direct API-level interworking. In this setup, the oneM2M platform can be recognized and function as an</w:t>
      </w:r>
      <w:r>
        <w:t xml:space="preserve"> </w:t>
      </w:r>
      <w:r>
        <w:t xml:space="preserve">MEC application</w:t>
      </w:r>
      <w:r>
        <w:t xml:space="preserve">, fully leveraging all services and functions provided by the MEC environment to deliver a truly 100% edge computing solution. Conversely, the MEC platform can directly offer data source, processing, and multi-access networking capabilities by hosting oneM2M as an integrated application. Achieving this level of tight coupling necessitates the development of standard documents defining clear interoperability and interworking specifications between the oneM2M and ETSI MEC platforms.</w:t>
      </w:r>
    </w:p>
    <w:p>
      <w:pPr>
        <w:pStyle w:val="CaptionedFigure"/>
      </w:pPr>
      <w:r>
        <w:drawing>
          <wp:inline>
            <wp:extent cx="2348564" cy="3311090"/>
            <wp:effectExtent b="0" l="0" r="0" t="0"/>
            <wp:docPr descr="Deployment D" title="" id="47" name="Picture"/>
            <a:graphic>
              <a:graphicData uri="http://schemas.openxmlformats.org/drawingml/2006/picture">
                <pic:pic>
                  <pic:nvPicPr>
                    <pic:cNvPr descr="media/oneM2M_MEC_deployment_D.png" id="48" name="Picture"/>
                    <pic:cNvPicPr>
                      <a:picLocks noChangeArrowheads="1" noChangeAspect="1"/>
                    </pic:cNvPicPr>
                  </pic:nvPicPr>
                  <pic:blipFill>
                    <a:blip r:embed="rId46"/>
                    <a:stretch>
                      <a:fillRect/>
                    </a:stretch>
                  </pic:blipFill>
                  <pic:spPr bwMode="auto">
                    <a:xfrm>
                      <a:off x="0" y="0"/>
                      <a:ext cx="2348564" cy="3311090"/>
                    </a:xfrm>
                    <a:prstGeom prst="rect">
                      <a:avLst/>
                    </a:prstGeom>
                    <a:noFill/>
                    <a:ln w="9525">
                      <a:noFill/>
                      <a:headEnd/>
                      <a:tailEnd/>
                    </a:ln>
                  </pic:spPr>
                </pic:pic>
              </a:graphicData>
            </a:graphic>
          </wp:inline>
        </w:drawing>
      </w:r>
    </w:p>
    <w:p>
      <w:pPr>
        <w:pStyle w:val="ImageCaption"/>
      </w:pPr>
      <w:r>
        <w:t xml:space="preserve">Deployment D</w:t>
      </w:r>
    </w:p>
    <w:bookmarkEnd w:id="49"/>
    <w:bookmarkEnd w:id="50"/>
    <w:bookmarkStart w:id="52" w:name="additional-services-to-be-deployed"/>
    <w:p>
      <w:pPr>
        <w:pStyle w:val="Heading2"/>
      </w:pPr>
      <w:r>
        <w:t xml:space="preserve">5.2 Additional services to be deployed</w:t>
      </w:r>
    </w:p>
    <w:bookmarkStart w:id="51" w:name="swarm-computing-services"/>
    <w:p>
      <w:pPr>
        <w:pStyle w:val="Heading3"/>
      </w:pPr>
      <w:r>
        <w:t xml:space="preserve">5.2.1 Swarm Computing Services</w:t>
      </w:r>
    </w:p>
    <w:p>
      <w:pPr>
        <w:pStyle w:val="FirstParagraph"/>
      </w:pPr>
      <w:r>
        <w:t xml:space="preserve"> </w:t>
      </w:r>
      <w:r>
        <w:t xml:space="preserve">Architecture using oneM2M and ETSI MEC</w:t>
      </w:r>
      <w:r>
        <w:t xml:space="preserve"> </w:t>
      </w:r>
      <w:r>
        <w:t xml:space="preserve"> </w:t>
      </w:r>
      <w:r>
        <w:t xml:space="preserve">### 5.2.2 Federated Learning Services</w:t>
      </w:r>
      <w:r>
        <w:t xml:space="preserve"> </w:t>
      </w:r>
      <w:r>
        <w:t xml:space="preserve"> </w:t>
      </w:r>
      <w:r>
        <w:t xml:space="preserve">Architecture using oneM2M and ETSI MEC</w:t>
      </w:r>
      <w:r>
        <w:t xml:space="preserve"> </w:t>
      </w:r>
    </w:p>
    <w:bookmarkEnd w:id="51"/>
    <w:bookmarkEnd w:id="52"/>
    <w:bookmarkEnd w:id="53"/>
    <w:bookmarkStart w:id="54" w:name="X29314779746f914c4ce4a3f71471ace37ca4372"/>
    <w:p>
      <w:pPr>
        <w:pStyle w:val="Heading1"/>
      </w:pPr>
      <w:r>
        <w:t xml:space="preserve">6 Potential impacts for Interworking with ETSI MEC</w:t>
      </w:r>
    </w:p>
    <w:p>
      <w:pPr>
        <w:pStyle w:val="FirstParagraph"/>
      </w:pPr>
      <w:r>
        <w:t xml:space="preserve"> </w:t>
      </w:r>
      <w:r>
        <w:t xml:space="preserve">This will describe the desired functional capabilities of oneM2M/MEC</w:t>
      </w:r>
      <w:r>
        <w:t xml:space="preserve"> </w:t>
      </w:r>
      <w:r>
        <w:t xml:space="preserve">For example 6.1 can discuss registration of oneM2M to MEC capturing the outcome. The solutions will be explored in clause 7.</w:t>
      </w:r>
    </w:p>
    <w:p>
      <w:pPr>
        <w:pStyle w:val="BodyText"/>
      </w:pPr>
    </w:p>
    <w:bookmarkEnd w:id="54"/>
    <w:bookmarkStart w:id="72" w:name="X8f68c130cc7d8c06bd935a465f3c81a4f1de217"/>
    <w:p>
      <w:pPr>
        <w:pStyle w:val="Heading1"/>
      </w:pPr>
      <w:r>
        <w:t xml:space="preserve">7 Potential solutions for Interworking with ETSI MEC</w:t>
      </w:r>
    </w:p>
    <w:p>
      <w:pPr>
        <w:pStyle w:val="FirstParagraph"/>
      </w:pPr>
      <w:r>
        <w:t xml:space="preserve"> </w:t>
      </w:r>
      <w:r>
        <w:t xml:space="preserve">This will describe solutions that are discussed considering options and alternative if available.</w:t>
      </w:r>
      <w:r>
        <w:t xml:space="preserve"> </w:t>
      </w:r>
      <w:r>
        <w:t xml:space="preserve">## 7.1 feature/services using oneM2M with ETSI MEC</w:t>
      </w:r>
      <w:r>
        <w:t xml:space="preserve"> </w:t>
      </w:r>
      <w:r>
        <w:t xml:space="preserve">### 7.1.1 Description</w:t>
      </w:r>
      <w:r>
        <w:t xml:space="preserve"> </w:t>
      </w:r>
      <w:r>
        <w:t xml:space="preserve">### 7.1.2 Feature Gap Analysis</w:t>
      </w:r>
      <w:r>
        <w:t xml:space="preserve"> </w:t>
      </w:r>
      <w:r>
        <w:t xml:space="preserve">### 7.1.3 Key Issues and requirements</w:t>
      </w:r>
      <w:r>
        <w:t xml:space="preserve"> </w:t>
      </w:r>
      <w:r>
        <w:t xml:space="preserve">### 7.1.4 Solution #n</w:t>
      </w:r>
      <w:r>
        <w:t xml:space="preserve"> </w:t>
      </w:r>
    </w:p>
    <w:bookmarkStart w:id="56" w:name="registration-of-onem2m-to-etsi-mec"/>
    <w:p>
      <w:pPr>
        <w:pStyle w:val="Heading2"/>
      </w:pPr>
      <w:r>
        <w:t xml:space="preserve">7.1 Registration of oneM2M to ETSI MEC</w:t>
      </w:r>
    </w:p>
    <w:bookmarkStart w:id="55" w:name="description"/>
    <w:p>
      <w:pPr>
        <w:pStyle w:val="Heading3"/>
      </w:pPr>
      <w:r>
        <w:t xml:space="preserve">7.1.1 Description</w:t>
      </w:r>
    </w:p>
    <w:p>
      <w:pPr>
        <w:pStyle w:val="FirstParagraph"/>
      </w:pPr>
      <w:r>
        <w:t xml:space="preserve">To deploy oneM2M along with ETSI MEC will require a registration process. The process will need to address registration from IPE AEs and CSEs (IN, MN, AN). The registration process will also require discovery of capabilities that are exposed by ETSI MEC and publishing services available from oneM2M.</w:t>
      </w:r>
      <w:r>
        <w:t xml:space="preserve"> </w:t>
      </w:r>
      <w:r>
        <w:t xml:space="preserve">### 7.1.2 Feature Gap Analysis</w:t>
      </w:r>
      <w:r>
        <w:t xml:space="preserve"> </w:t>
      </w:r>
      <w:r>
        <w:t xml:space="preserve">### 7.1.3 Key Issues and requirements</w:t>
      </w:r>
      <w:r>
        <w:t xml:space="preserve"> </w:t>
      </w:r>
      <w:r>
        <w:t xml:space="preserve">### 7.1.4 Solution 1: Registering IPE AE</w:t>
      </w:r>
      <w:r>
        <w:t xml:space="preserve"> </w:t>
      </w:r>
      <w:r>
        <w:t xml:space="preserve">### 7.1.5 Solution 2: Registering IN-CSE to MEC hosted IPE AE</w:t>
      </w:r>
      <w:r>
        <w:t xml:space="preserve"> </w:t>
      </w:r>
      <w:r>
        <w:t xml:space="preserve">### 7.1.6 Solution 3: Registering MN-CSE to MEC on separate platform</w:t>
      </w:r>
      <w:r>
        <w:t xml:space="preserve"> </w:t>
      </w:r>
      <w:r>
        <w:t xml:space="preserve">### 7.1.7 Solution 4: Registering MN-CSE as MEC application</w:t>
      </w:r>
      <w:r>
        <w:t xml:space="preserve"> </w:t>
      </w:r>
      <w:r>
        <w:t xml:space="preserve">### 7.1.8 Solution 5: Integrating oneM2M as a MEC service</w:t>
      </w:r>
    </w:p>
    <w:bookmarkEnd w:id="55"/>
    <w:bookmarkEnd w:id="56"/>
    <w:bookmarkStart w:id="61" w:name="X0d43e36fbbcc45fbd7a9915b42f91164767fbea"/>
    <w:p>
      <w:pPr>
        <w:pStyle w:val="Heading2"/>
      </w:pPr>
      <w:r>
        <w:t xml:space="preserve">7.2 Transfer registration from oneM2M host on a first MEC platform to another second MEC Platform</w:t>
      </w:r>
    </w:p>
    <w:bookmarkStart w:id="57" w:name="description-1"/>
    <w:p>
      <w:pPr>
        <w:pStyle w:val="Heading3"/>
      </w:pPr>
      <w:r>
        <w:t xml:space="preserve">7.2.1 Description</w:t>
      </w:r>
    </w:p>
    <w:p>
      <w:pPr>
        <w:pStyle w:val="FirstParagraph"/>
      </w:pPr>
      <w:r>
        <w:t xml:space="preserve"> </w:t>
      </w:r>
      <w:r>
        <w:t xml:space="preserve">show a couple images from use cases showing some sort of neighbor search and handover process</w:t>
      </w:r>
    </w:p>
    <w:bookmarkEnd w:id="57"/>
    <w:bookmarkStart w:id="58" w:name="feature-gap-analysis"/>
    <w:p>
      <w:pPr>
        <w:pStyle w:val="Heading3"/>
      </w:pPr>
      <w:r>
        <w:t xml:space="preserve">7.2.2 Feature Gap Analysis</w:t>
      </w:r>
    </w:p>
    <w:bookmarkEnd w:id="58"/>
    <w:bookmarkStart w:id="59" w:name="key-issues-and-requirements"/>
    <w:p>
      <w:pPr>
        <w:pStyle w:val="Heading3"/>
      </w:pPr>
      <w:r>
        <w:t xml:space="preserve">7.2.3 Key Issues and requirements</w:t>
      </w:r>
    </w:p>
    <w:bookmarkEnd w:id="59"/>
    <w:bookmarkStart w:id="60" w:name="solution-n"/>
    <w:p>
      <w:pPr>
        <w:pStyle w:val="Heading3"/>
      </w:pPr>
      <w:r>
        <w:t xml:space="preserve">7.2.4 Solution #n</w:t>
      </w:r>
    </w:p>
    <w:bookmarkEnd w:id="60"/>
    <w:bookmarkEnd w:id="61"/>
    <w:bookmarkStart w:id="66" w:name="coordinate-federated-learning"/>
    <w:p>
      <w:pPr>
        <w:pStyle w:val="Heading2"/>
      </w:pPr>
      <w:r>
        <w:t xml:space="preserve">7.3 Coordinate Federated Learning</w:t>
      </w:r>
    </w:p>
    <w:bookmarkStart w:id="62" w:name="description-2"/>
    <w:p>
      <w:pPr>
        <w:pStyle w:val="Heading3"/>
      </w:pPr>
      <w:r>
        <w:t xml:space="preserve">7.3.1 Description</w:t>
      </w:r>
    </w:p>
    <w:p>
      <w:pPr>
        <w:pStyle w:val="FirstParagraph"/>
      </w:pPr>
      <w:r>
        <w:t xml:space="preserve"> </w:t>
      </w:r>
      <w:r>
        <w:t xml:space="preserve">Overview of FL. Provision model, coordinator, selection of nodes, private data used for training</w:t>
      </w:r>
      <w:r>
        <w:t xml:space="preserve"> </w:t>
      </w:r>
    </w:p>
    <w:bookmarkEnd w:id="62"/>
    <w:bookmarkStart w:id="63" w:name="feature-gap-analysis-1"/>
    <w:p>
      <w:pPr>
        <w:pStyle w:val="Heading3"/>
      </w:pPr>
      <w:r>
        <w:t xml:space="preserve">7.3.2 Feature Gap Analysis</w:t>
      </w:r>
    </w:p>
    <w:bookmarkEnd w:id="63"/>
    <w:bookmarkStart w:id="64" w:name="key-issues-and-requirements-1"/>
    <w:p>
      <w:pPr>
        <w:pStyle w:val="Heading3"/>
      </w:pPr>
      <w:r>
        <w:t xml:space="preserve">7.3.3 Key Issues and requirements</w:t>
      </w:r>
    </w:p>
    <w:bookmarkEnd w:id="64"/>
    <w:bookmarkStart w:id="65" w:name="solution-n-1"/>
    <w:p>
      <w:pPr>
        <w:pStyle w:val="Heading3"/>
      </w:pPr>
      <w:r>
        <w:t xml:space="preserve">7.3.4 Solution #n</w:t>
      </w:r>
    </w:p>
    <w:bookmarkEnd w:id="65"/>
    <w:bookmarkEnd w:id="66"/>
    <w:bookmarkStart w:id="71" w:name="coordinate-swarm-computing"/>
    <w:p>
      <w:pPr>
        <w:pStyle w:val="Heading2"/>
      </w:pPr>
      <w:r>
        <w:t xml:space="preserve">7.4 Coordinate Swarm computing</w:t>
      </w:r>
    </w:p>
    <w:bookmarkStart w:id="67" w:name="description-3"/>
    <w:p>
      <w:pPr>
        <w:pStyle w:val="Heading3"/>
      </w:pPr>
      <w:r>
        <w:t xml:space="preserve">7.4.1 Description</w:t>
      </w:r>
    </w:p>
    <w:p>
      <w:pPr>
        <w:pStyle w:val="FirstParagraph"/>
      </w:pPr>
      <w:r>
        <w:t xml:space="preserve"> </w:t>
      </w:r>
      <w:r>
        <w:t xml:space="preserve">Overview of Swarm Computing; selection of coordinator, selection of nodes; ..</w:t>
      </w:r>
      <w:r>
        <w:t xml:space="preserve"> </w:t>
      </w:r>
    </w:p>
    <w:bookmarkEnd w:id="67"/>
    <w:bookmarkStart w:id="68" w:name="feature-gap-analysis-2"/>
    <w:p>
      <w:pPr>
        <w:pStyle w:val="Heading3"/>
      </w:pPr>
      <w:r>
        <w:t xml:space="preserve">7.4.2 Feature Gap Analysis</w:t>
      </w:r>
    </w:p>
    <w:bookmarkEnd w:id="68"/>
    <w:bookmarkStart w:id="69" w:name="key-issues-and-requirements-2"/>
    <w:p>
      <w:pPr>
        <w:pStyle w:val="Heading3"/>
      </w:pPr>
      <w:r>
        <w:t xml:space="preserve">7.4.3 Key Issues and requirements</w:t>
      </w:r>
    </w:p>
    <w:bookmarkEnd w:id="69"/>
    <w:bookmarkStart w:id="70" w:name="solution-n-2"/>
    <w:p>
      <w:pPr>
        <w:pStyle w:val="Heading3"/>
      </w:pPr>
      <w:r>
        <w:t xml:space="preserve">7.4.4 Solution #n</w:t>
      </w:r>
    </w:p>
    <w:bookmarkEnd w:id="70"/>
    <w:bookmarkEnd w:id="71"/>
    <w:bookmarkEnd w:id="72"/>
    <w:bookmarkStart w:id="74" w:name="proforma-copyright-release-text-block"/>
    <w:p>
      <w:pPr>
        <w:pStyle w:val="Heading1"/>
      </w:pPr>
      <w:r>
        <w:t xml:space="preserve">Proforma copyright release text block</w:t>
      </w:r>
    </w:p>
    <w:p>
      <w:pPr>
        <w:pStyle w:val="FirstParagraph"/>
      </w:pPr>
      <w:r>
        <w:t xml:space="preserve">This text box shall immediately follow after the heading of an element (i.e. clause or annex) containing a proforma or template which is intended to be copied by the user. Such an element shall always start on a new page.</w:t>
      </w:r>
    </w:p>
    <w:p>
      <w:pPr>
        <w:pStyle w:val="BodyText"/>
      </w:pPr>
      <w:r>
        <w:t xml:space="preserve">Notwithstanding the provisions of the copyright clause related to the text of the present document, oneM2M grants that users of the present document may freely reproduce the &lt;proformatype&gt; proforma in this {clause|annex} so that it can be used for its intended purposes and may further publish the completed &lt;proformatype&gt;.</w:t>
      </w:r>
    </w:p>
    <w:p>
      <w:pPr>
        <w:pStyle w:val="BodyText"/>
      </w:pPr>
      <w:r>
        <w:t xml:space="preserve">&lt;PAGE BREAK&gt;</w:t>
      </w:r>
    </w:p>
    <w:bookmarkStart w:id="73" w:name="annexes"/>
    <w:p>
      <w:pPr>
        <w:pStyle w:val="Heading2"/>
      </w:pPr>
      <w:r>
        <w:t xml:space="preserve">Annexes</w:t>
      </w:r>
    </w:p>
    <w:p>
      <w:pPr>
        <w:pStyle w:val="FirstParagraph"/>
      </w:pPr>
      <w:r>
        <w:t xml:space="preserve">Each annex shall start on a new page (insert a page break between annexes A and B, annexes B and C, etc.).</w:t>
      </w:r>
    </w:p>
    <w:bookmarkEnd w:id="73"/>
    <w:bookmarkEnd w:id="74"/>
    <w:bookmarkStart w:id="75" w:name="annex-a"/>
    <w:p>
      <w:pPr>
        <w:pStyle w:val="Heading1"/>
      </w:pPr>
      <w:r>
        <w:t xml:space="preserve">Annex &lt;A&gt;:</w:t>
      </w:r>
      <w:r>
        <w:br/>
      </w:r>
    </w:p>
    <w:p>
      <w:pPr>
        <w:pStyle w:val="FirstParagraph"/>
      </w:pPr>
      <w:r>
        <w:t xml:space="preserve">Title of annex</w:t>
      </w:r>
    </w:p>
    <w:p>
      <w:pPr>
        <w:pStyle w:val="BodyText"/>
      </w:pPr>
      <w:r>
        <w:t xml:space="preserve">&lt;Text&gt;</w:t>
      </w:r>
    </w:p>
    <w:p>
      <w:pPr>
        <w:pStyle w:val="BodyText"/>
      </w:pPr>
      <w:r>
        <w:t xml:space="preserve">&lt;PAGE BREAK&gt;</w:t>
      </w:r>
    </w:p>
    <w:bookmarkEnd w:id="75"/>
    <w:bookmarkStart w:id="78" w:name="annex-b"/>
    <w:p>
      <w:pPr>
        <w:pStyle w:val="Heading1"/>
      </w:pPr>
      <w:r>
        <w:t xml:space="preserve">Annex &lt;B&gt;:</w:t>
      </w:r>
      <w:r>
        <w:br/>
      </w:r>
    </w:p>
    <w:p>
      <w:pPr>
        <w:pStyle w:val="FirstParagraph"/>
      </w:pPr>
      <w:r>
        <w:t xml:space="preserve">Title of annex</w:t>
      </w:r>
    </w:p>
    <w:p>
      <w:pPr>
        <w:pStyle w:val="BodyText"/>
      </w:pPr>
      <w:r>
        <w:t xml:space="preserve">&lt;Text&gt;</w:t>
      </w:r>
    </w:p>
    <w:bookmarkStart w:id="77" w:name="first-clause-of-the-annex"/>
    <w:p>
      <w:pPr>
        <w:pStyle w:val="Heading2"/>
      </w:pPr>
      <w:r>
        <w:t xml:space="preserve"> </w:t>
      </w:r>
      <w:r>
        <w:t xml:space="preserve">First clause of the annex</w:t>
      </w:r>
    </w:p>
    <w:p>
      <w:pPr>
        <w:pStyle w:val="FirstParagraph"/>
      </w:pPr>
      <w:r>
        <w:t xml:space="preserve">&lt;Text&gt;</w:t>
      </w:r>
    </w:p>
    <w:bookmarkStart w:id="76" w:name="Xe3370b47c86688ba84b7fc63c3002b536b46f91"/>
    <w:p>
      <w:pPr>
        <w:pStyle w:val="Heading3"/>
      </w:pPr>
      <w:r>
        <w:t xml:space="preserve">B.1.1 First subdivided clause of the annex</w:t>
      </w:r>
    </w:p>
    <w:p>
      <w:pPr>
        <w:pStyle w:val="FirstParagraph"/>
      </w:pPr>
      <w:r>
        <w:t xml:space="preserve">&lt;Text&gt;</w:t>
      </w:r>
    </w:p>
    <w:p>
      <w:pPr>
        <w:pStyle w:val="BodyText"/>
      </w:pPr>
      <w:r>
        <w:t xml:space="preserve">&lt;PAGE BREAK&gt;</w:t>
      </w:r>
    </w:p>
    <w:bookmarkEnd w:id="76"/>
    <w:bookmarkEnd w:id="77"/>
    <w:bookmarkEnd w:id="78"/>
    <w:bookmarkStart w:id="79" w:name="annex-y"/>
    <w:p>
      <w:pPr>
        <w:pStyle w:val="Heading1"/>
      </w:pPr>
      <w:r>
        <w:t xml:space="preserve">Annex &lt;y&gt;:</w:t>
      </w:r>
      <w:r>
        <w:br/>
      </w:r>
    </w:p>
    <w:p>
      <w:pPr>
        <w:pStyle w:val="FirstParagraph"/>
      </w:pPr>
      <w:r>
        <w:t xml:space="preserve">Bibliography</w:t>
      </w:r>
      <w:r>
        <w:t xml:space="preserve"> </w:t>
      </w:r>
      <w:r>
        <w:t xml:space="preserve">The annex entitled</w:t>
      </w:r>
      <w:r>
        <w:t xml:space="preserve"> </w:t>
      </w:r>
      <w:r>
        <w:t xml:space="preserve">“Bibliography”</w:t>
      </w:r>
      <w:r>
        <w:t xml:space="preserve"> </w:t>
      </w:r>
      <w:r>
        <w:t xml:space="preserve">is optional.</w:t>
      </w:r>
    </w:p>
    <w:p>
      <w:pPr>
        <w:pStyle w:val="BodyText"/>
      </w:pPr>
      <w:r>
        <w:t xml:space="preserve">It shall contain a list of standards, books, articles, or other sources on a particular subject which are not mentioned in the document itself.</w:t>
      </w:r>
    </w:p>
    <w:p>
      <w:pPr>
        <w:pStyle w:val="BodyText"/>
      </w:pPr>
      <w:r>
        <w:t xml:space="preserve">It shall not include references mentioned in the document.</w:t>
      </w:r>
    </w:p>
    <w:p>
      <w:pPr>
        <w:pStyle w:val="Compact"/>
        <w:numPr>
          <w:ilvl w:val="0"/>
          <w:numId w:val="1004"/>
        </w:numPr>
      </w:pPr>
      <w:r>
        <w:t xml:space="preserve">&lt;Publication&gt;:</w:t>
      </w:r>
      <w:r>
        <w:t xml:space="preserve"> </w:t>
      </w:r>
      <w:r>
        <w:t xml:space="preserve">“&lt;Title&gt;”</w:t>
      </w:r>
      <w:r>
        <w:t xml:space="preserve">.</w:t>
      </w:r>
    </w:p>
    <w:p>
      <w:pPr>
        <w:pStyle w:val="FirstParagraph"/>
      </w:pPr>
      <w:r>
        <w:t xml:space="preserve">OR</w:t>
      </w:r>
    </w:p>
    <w:p>
      <w:pPr>
        <w:pStyle w:val="BodyText"/>
      </w:pPr>
      <w:r>
        <w:t xml:space="preserve">&lt;Publication&gt;:</w:t>
      </w:r>
      <w:r>
        <w:t xml:space="preserve"> </w:t>
      </w:r>
      <w:r>
        <w:t xml:space="preserve">“&lt;Title&gt;”</w:t>
      </w:r>
      <w:r>
        <w:t xml:space="preserve">.</w:t>
      </w:r>
    </w:p>
    <w:p>
      <w:pPr>
        <w:pStyle w:val="BodyText"/>
      </w:pPr>
      <w:r>
        <w:t xml:space="preserve">&lt;PAGE BREAK&gt;</w:t>
      </w:r>
    </w:p>
    <w:bookmarkEnd w:id="79"/>
    <w:bookmarkStart w:id="80" w:name="history"/>
    <w:p>
      <w:pPr>
        <w:pStyle w:val="Heading1"/>
      </w:pPr>
      <w:r>
        <w:t xml:space="preserve">History</w:t>
      </w:r>
    </w:p>
    <w:p>
      <w:pPr>
        <w:pStyle w:val="FirstParagraph"/>
      </w:pPr>
      <w:r>
        <w:t xml:space="preserve">This clause shall be the last one in the document and list the main phases (all additional information will be removed at the publication stage).</w:t>
      </w:r>
    </w:p>
    <w:tbl>
      <w:tblPr>
        <w:tblStyle w:val="Table"/>
        <w:tblW w:type="pct" w:w="4943"/>
        <w:tblLayout w:type="fixed"/>
        <w:tblLook w:firstRow="1" w:lastRow="0" w:firstColumn="0" w:lastColumn="0" w:noHBand="0" w:noVBand="0" w:val="0020"/>
      </w:tblPr>
      <w:tblGrid>
        <w:gridCol w:w="728"/>
        <w:gridCol w:w="1547"/>
        <w:gridCol w:w="5553"/>
      </w:tblGrid>
      <w:tr>
        <w:trPr>
          <w:tblHeader w:val="on"/>
        </w:trPr>
        <w:tc>
          <w:tcPr>
            <w:gridSpan w:val="3"/>
          </w:tcPr>
          <w:p>
            <w:pPr>
              <w:pStyle w:val="Compact"/>
              <w:jc w:val="left"/>
            </w:pPr>
            <w:r>
              <w:t xml:space="preserve">Publication history</w:t>
            </w:r>
          </w:p>
        </w:tc>
      </w:tr>
      <w:tr>
        <w:tc>
          <w:tcPr/>
          <w:p>
            <w:pPr>
              <w:pStyle w:val="Compact"/>
              <w:jc w:val="left"/>
            </w:pPr>
            <w:r>
              <w:t xml:space="preserve">V1.1.1</w:t>
            </w:r>
          </w:p>
        </w:tc>
        <w:tc>
          <w:tcPr/>
          <w:p>
            <w:pPr>
              <w:pStyle w:val="Compact"/>
              <w:jc w:val="left"/>
            </w:pPr>
            <w:r>
              <w:t xml:space="preserve">&lt;yyyy-mm-dd&gt;</w:t>
            </w:r>
          </w:p>
        </w:tc>
        <w:tc>
          <w:tcPr/>
          <w:p>
            <w:pPr>
              <w:pStyle w:val="Compact"/>
              <w:jc w:val="left"/>
            </w:pPr>
            <w:r>
              <w:t xml:space="preserve">&lt;Milestone&gt;</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pStyle w:val="BodyText"/>
      </w:pPr>
      <w:r>
        <w:t xml:space="preserve"> </w:t>
      </w:r>
      <w:r>
        <w:t xml:space="preserve">Draft history table to be removed on publication</w:t>
      </w:r>
      <w:r>
        <w:t xml:space="preserve"> </w:t>
      </w:r>
    </w:p>
    <w:tbl>
      <w:tblPr>
        <w:tblStyle w:val="Table"/>
        <w:tblW w:type="pct" w:w="4943"/>
        <w:tblLayout w:type="fixed"/>
        <w:tblLook w:firstRow="1" w:lastRow="0" w:firstColumn="0" w:lastColumn="0" w:noHBand="0" w:noVBand="0" w:val="0020"/>
      </w:tblPr>
      <w:tblGrid>
        <w:gridCol w:w="728"/>
        <w:gridCol w:w="1547"/>
        <w:gridCol w:w="5553"/>
      </w:tblGrid>
      <w:tr>
        <w:trPr>
          <w:tblHeader w:val="on"/>
        </w:trPr>
        <w:tc>
          <w:tcPr>
            <w:gridSpan w:val="3"/>
          </w:tcPr>
          <w:p>
            <w:pPr>
              <w:pStyle w:val="Compact"/>
              <w:jc w:val="left"/>
            </w:pPr>
            <w:r>
              <w:t xml:space="preserve">Draft history</w:t>
            </w:r>
          </w:p>
        </w:tc>
      </w:tr>
      <w:tr>
        <w:tc>
          <w:tcPr/>
          <w:p>
            <w:pPr>
              <w:pStyle w:val="Compact"/>
              <w:jc w:val="left"/>
            </w:pPr>
            <w:r>
              <w:t xml:space="preserve">V0.1.0</w:t>
            </w:r>
          </w:p>
        </w:tc>
        <w:tc>
          <w:tcPr/>
          <w:p>
            <w:pPr>
              <w:pStyle w:val="Compact"/>
              <w:jc w:val="left"/>
            </w:pPr>
            <w:r>
              <w:t xml:space="preserve">2025-06-27</w:t>
            </w:r>
          </w:p>
        </w:tc>
        <w:tc>
          <w:tcPr/>
          <w:p>
            <w:pPr>
              <w:pStyle w:val="Compact"/>
              <w:jc w:val="left"/>
            </w:pPr>
            <w:r>
              <w:t xml:space="preserve">SDS-2025-0108R01 - ESTIMED-Skeleton for STF685</w:t>
            </w:r>
          </w:p>
        </w:tc>
      </w:tr>
      <w:tr>
        <w:tc>
          <w:tcPr/>
          <w:p>
            <w:pPr>
              <w:pStyle w:val="Compact"/>
            </w:pPr>
          </w:p>
        </w:tc>
        <w:tc>
          <w:tcPr/>
          <w:p>
            <w:pPr>
              <w:pStyle w:val="Compact"/>
            </w:pPr>
          </w:p>
        </w:tc>
        <w:tc>
          <w:tcPr/>
          <w:p>
            <w:pPr>
              <w:pStyle w:val="Compact"/>
            </w:pPr>
          </w:p>
        </w:tc>
      </w:tr>
    </w:tbl>
    <w:bookmarkEnd w:id="80"/>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8DBF" w14:textId="508BEB3E" w:rsidR="00D050B3" w:rsidRPr="000C4B89" w:rsidRDefault="006502E1" w:rsidP="00DB59ED">
    <w:pPr>
      <w:pStyle w:val="Footer"/>
      <w:jc w:val="left"/>
      <w:rPr>
        <w:rFonts w:ascii="Times New Roman" w:hAnsi="Times New Roman"/>
        <w:bCs/>
        <w:i w:val="0"/>
        <w:sz w:val="20"/>
      </w:rPr>
    </w:pPr>
    <w:r w:rsidRPr="006502E1">
      <w:rPr>
        <w:rFonts w:ascii="Times New Roman" w:eastAsia="Calibri" w:hAnsi="Times New Roman"/>
        <w:bCs/>
        <w:i w:val="0"/>
        <w:sz w:val="20"/>
        <w:lang w:val="en-US"/>
      </w:rPr>
      <w:t>© 20</w:t>
    </w:r>
    <w:r>
      <w:rPr>
        <w:rFonts w:ascii="Times New Roman" w:eastAsia="Calibri" w:hAnsi="Times New Roman"/>
        <w:bCs/>
        <w:i w:val="0"/>
        <w:sz w:val="20"/>
        <w:lang w:val="en-US"/>
      </w:rPr>
      <w:t>25</w:t>
    </w:r>
    <w:r w:rsidRPr="006502E1">
      <w:rPr>
        <w:rFonts w:ascii="Times New Roman" w:eastAsia="Calibri" w:hAnsi="Times New Roman"/>
        <w:bCs/>
        <w:i w:val="0"/>
        <w:sz w:val="20"/>
        <w:lang w:val="en-US"/>
      </w:rPr>
      <w:t>, oneM2M Partners Type 1</w:t>
    </w:r>
    <w:r w:rsidRPr="000C4B89">
      <w:rPr>
        <w:rFonts w:ascii="Times New Roman" w:hAnsi="Times New Roman"/>
        <w:bCs/>
        <w:i w:val="0"/>
        <w:sz w:val="20"/>
      </w:rPr>
      <w:t xml:space="preserve"> </w:t>
    </w:r>
    <w:r w:rsidR="000C4B89" w:rsidRPr="000C4B89">
      <w:rPr>
        <w:rFonts w:ascii="Times New Roman" w:hAnsi="Times New Roman"/>
        <w:bCs/>
        <w:i w:val="0"/>
        <w:sz w:val="20"/>
      </w:rPr>
      <w:ptab w:relativeTo="margin" w:alignment="right" w:leader="none"/>
    </w:r>
    <w:r w:rsidR="000C4B89" w:rsidRPr="000C4B89">
      <w:rPr>
        <w:rFonts w:ascii="Times New Roman" w:hAnsi="Times New Roman"/>
        <w:bCs/>
        <w:i w:val="0"/>
        <w:sz w:val="20"/>
      </w:rPr>
      <w:t xml:space="preserve">Page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PAGE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1</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 xml:space="preserve"> (of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NUMPAGES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2</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hideSpellingErrors/>
  <w:hideGrammaticalErrors/>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34F"/>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279C7"/>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02E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1A97"/>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52A83"/>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072D"/>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0" Target="media/rId20.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hyperlink" Id="rId26" Target="https://member.onem2m.org/static_Pages/others/Rules_Pages/oneM2M-Drafting-Rules-V1%202%202.doc" TargetMode="External" /></Relationships>
</file>

<file path=word/_rels/footnotes.xml.rels><?xml version="1.0" encoding="UTF-8"?><Relationships xmlns="http://schemas.openxmlformats.org/package/2006/relationships"><Relationship Type="http://schemas.openxmlformats.org/officeDocument/2006/relationships/hyperlink" Id="rId26" Target="https://member.onem2m.org/static_Pages/others/Rules_Pages/oneM2M-Drafting-Rules-V1%202%202.doc"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376</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2025-06-27T08:12:51Z</dcterms:created>
  <dcterms:modified xsi:type="dcterms:W3CDTF">2025-06-27T08:12:51Z</dcterms:modified>
</cp:coreProperties>
</file>

<file path=docProps/custom.xml><?xml version="1.0" encoding="utf-8"?>
<Properties xmlns="http://schemas.openxmlformats.org/officeDocument/2006/custom-properties" xmlns:vt="http://schemas.openxmlformats.org/officeDocument/2006/docPropsVTypes"/>
</file>