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00C8E" w14:textId="53E30829" w:rsidR="00953837" w:rsidRDefault="00023407" w:rsidP="00186147">
      <w:pPr>
        <w:pStyle w:val="Heading2"/>
        <w:jc w:val="center"/>
        <w:rPr>
          <w:rFonts w:eastAsia="Malgun Gothic"/>
        </w:rPr>
      </w:pPr>
      <w:r w:rsidRPr="00540429">
        <w:rPr>
          <w:rFonts w:eastAsia="Malgun Gothic"/>
        </w:rPr>
        <w:t>--------</w:t>
      </w:r>
      <w:r w:rsidRPr="00540429">
        <w:rPr>
          <w:rFonts w:eastAsia="Malgun Gothic" w:hint="eastAsia"/>
          <w:lang w:eastAsia="ko-KR"/>
        </w:rPr>
        <w:t xml:space="preserve"> </w:t>
      </w:r>
      <w:r w:rsidR="00186147">
        <w:rPr>
          <w:rFonts w:eastAsia="Malgun Gothic"/>
          <w:lang w:eastAsia="ko-KR"/>
        </w:rPr>
        <w:t>Release Notes</w:t>
      </w:r>
      <w:r w:rsidRPr="00540429">
        <w:rPr>
          <w:rFonts w:eastAsia="Malgun Gothic"/>
        </w:rPr>
        <w:t xml:space="preserve"> </w:t>
      </w:r>
      <w:r w:rsidR="00186147">
        <w:rPr>
          <w:rFonts w:eastAsia="Malgun Gothic"/>
        </w:rPr>
        <w:t>from v0.3.0</w:t>
      </w:r>
      <w:r w:rsidRPr="00540429">
        <w:rPr>
          <w:rFonts w:eastAsia="Malgun Gothic" w:hint="eastAsia"/>
          <w:lang w:eastAsia="ko-KR"/>
        </w:rPr>
        <w:t xml:space="preserve"> </w:t>
      </w:r>
      <w:r w:rsidR="00186147">
        <w:rPr>
          <w:rFonts w:eastAsia="Malgun Gothic"/>
          <w:lang w:eastAsia="ko-KR"/>
        </w:rPr>
        <w:t xml:space="preserve">to v0.2.0 </w:t>
      </w:r>
      <w:r w:rsidRPr="00540429">
        <w:rPr>
          <w:rFonts w:eastAsia="Malgun Gothic"/>
        </w:rPr>
        <w:t>-------------</w:t>
      </w:r>
    </w:p>
    <w:p w14:paraId="5EBE7098" w14:textId="0086F148" w:rsidR="007E19E7" w:rsidRDefault="0018614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sz w:val="28"/>
          <w:szCs w:val="32"/>
        </w:rPr>
        <w:t>7e5a8e231b56de717d3418a2385c86042d7ffca4 to 382b17907c5731636718b971580f0960295ca713</w:t>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---a/TR-0077-oneM2M_and_MEC_integration_scenario_and_mechanisms.md</w:t>
        <w:br/>
        <w:t>+++b/TR-0077-oneM2M_and_MEC_integration_scenario_and_mechanisms.md</w:t>
      </w:r>
    </w:p>
    <w:p>
      <w:pPr>
        <w:pStyle w:val="CodeHeader"/>
      </w:pPr>
      <w:r>
        <w:t xml:space="preserve">@@ -1,59 +1,12 @@ </w:t>
      </w:r>
    </w:p>
    <w:p>
      <w:pPr>
        <w:pStyle w:val="CodeChangeLine"/>
        <w:tabs>
          <w:tab w:pos="567" w:val="left"/>
          <w:tab w:pos="1134" w:val="left"/>
          <w:tab w:pos="1247" w:val="left"/>
        </w:tabs>
        <w:shd w:val="clear" w:color="auto" w:fill="fbe9eb"/>
      </w:pPr>
      <w:r>
        <w:rPr>
          <w:color w:val="BFBFBF"/>
          <w:shd w:val="clear" w:color="auto" w:fill="#f9d7dc"/>
        </w:rPr>
        <w:t>1</w:t>
        <w:tab/>
        <w:tab/>
        <w:t>-</w:t>
        <w:tab/>
      </w:r>
      <w:r/>
    </w:p>
    <w:p>
      <w:pPr>
        <w:pStyle w:val="CodeChangeLine"/>
        <w:tabs>
          <w:tab w:pos="567" w:val="left"/>
          <w:tab w:pos="1134" w:val="left"/>
          <w:tab w:pos="1247" w:val="left"/>
        </w:tabs>
        <w:shd w:val="clear" w:color="auto" w:fill="fbe9eb"/>
      </w:pPr>
      <w:r>
        <w:rPr>
          <w:color w:val="BFBFBF"/>
          <w:shd w:val="clear" w:color="auto" w:fill="#f9d7dc"/>
        </w:rPr>
        <w:t>2</w:t>
        <w:tab/>
        <w:tab/>
        <w:t>-</w:t>
        <w:tab/>
      </w:r>
      <w:r>
        <w:t>![~~CAPTION~~](media/logo.png)</w:t>
      </w:r>
    </w:p>
    <w:p>
      <w:pPr>
        <w:pStyle w:val="CodeChangeLine"/>
        <w:tabs>
          <w:tab w:pos="567" w:val="left"/>
          <w:tab w:pos="1134" w:val="left"/>
          <w:tab w:pos="1247" w:val="left"/>
        </w:tabs>
        <w:shd w:val="clear" w:color="auto" w:fill="fbe9eb"/>
      </w:pPr>
      <w:r>
        <w:rPr>
          <w:color w:val="BFBFBF"/>
          <w:shd w:val="clear" w:color="auto" w:fill="#f9d7dc"/>
        </w:rPr>
        <w:t>3</w:t>
        <w:tab/>
        <w:tab/>
        <w:t>-</w:t>
        <w:tab/>
      </w:r>
      <w:r/>
    </w:p>
    <w:p>
      <w:pPr>
        <w:pStyle w:val="CodeChangeLine"/>
        <w:tabs>
          <w:tab w:pos="567" w:val="left"/>
          <w:tab w:pos="1134" w:val="left"/>
          <w:tab w:pos="1247" w:val="left"/>
        </w:tabs>
        <w:shd w:val="clear" w:color="auto" w:fill="fbe9eb"/>
      </w:pPr>
      <w:r>
        <w:rPr>
          <w:color w:val="BFBFBF"/>
          <w:shd w:val="clear" w:color="auto" w:fill="#f9d7dc"/>
        </w:rPr>
        <w:t>4</w:t>
        <w:tab/>
        <w:tab/>
        <w:t>-</w:t>
        <w:tab/>
      </w:r>
      <w:r/>
    </w:p>
    <w:p>
      <w:pPr>
        <w:pStyle w:val="CodeChangeLine"/>
        <w:tabs>
          <w:tab w:pos="567" w:val="left"/>
          <w:tab w:pos="1134" w:val="left"/>
          <w:tab w:pos="1247" w:val="left"/>
        </w:tabs>
        <w:shd w:val="clear" w:color="auto" w:fill="fbe9eb"/>
      </w:pPr>
      <w:r>
        <w:rPr>
          <w:color w:val="BFBFBF"/>
          <w:shd w:val="clear" w:color="auto" w:fill="#f9d7dc"/>
        </w:rPr>
        <w:t>5</w:t>
        <w:tab/>
        <w:tab/>
        <w:t>-</w:t>
        <w:tab/>
      </w:r>
      <w:r>
        <w:t>+----------------------------------------------------------------+</w:t>
      </w:r>
    </w:p>
    <w:p>
      <w:pPr>
        <w:pStyle w:val="CodeChangeLine"/>
        <w:tabs>
          <w:tab w:pos="567" w:val="left"/>
          <w:tab w:pos="1134" w:val="left"/>
          <w:tab w:pos="1247" w:val="left"/>
        </w:tabs>
        <w:shd w:val="clear" w:color="auto" w:fill="fbe9eb"/>
      </w:pPr>
      <w:r>
        <w:rPr>
          <w:color w:val="BFBFBF"/>
          <w:shd w:val="clear" w:color="auto" w:fill="#f9d7dc"/>
        </w:rPr>
        <w:t>6</w:t>
        <w:tab/>
        <w:tab/>
        <w:t>-</w:t>
        <w:tab/>
      </w:r>
      <w:r>
        <w:t>|**oneM2M** \                                                    |</w:t>
      </w:r>
    </w:p>
    <w:p>
      <w:pPr>
        <w:pStyle w:val="CodeChangeLine"/>
        <w:tabs>
          <w:tab w:pos="567" w:val="left"/>
          <w:tab w:pos="1134" w:val="left"/>
          <w:tab w:pos="1247" w:val="left"/>
        </w:tabs>
        <w:shd w:val="clear" w:color="auto" w:fill="fbe9eb"/>
      </w:pPr>
      <w:r>
        <w:rPr>
          <w:color w:val="BFBFBF"/>
          <w:shd w:val="clear" w:color="auto" w:fill="#f9d7dc"/>
        </w:rPr>
        <w:t>7</w:t>
        <w:tab/>
        <w:tab/>
        <w:t>-</w:t>
        <w:tab/>
      </w:r>
      <w:r>
        <w:t>|**Technical** **Report**                                        |</w:t>
      </w:r>
    </w:p>
    <w:p>
      <w:pPr>
        <w:pStyle w:val="CodeChangeLine"/>
        <w:tabs>
          <w:tab w:pos="567" w:val="left"/>
          <w:tab w:pos="1134" w:val="left"/>
          <w:tab w:pos="1247" w:val="left"/>
        </w:tabs>
        <w:shd w:val="clear" w:color="auto" w:fill="fbe9eb"/>
      </w:pPr>
      <w:r>
        <w:rPr>
          <w:color w:val="BFBFBF"/>
          <w:shd w:val="clear" w:color="auto" w:fill="#f9d7dc"/>
        </w:rPr>
        <w:t>8</w:t>
        <w:tab/>
        <w:tab/>
        <w:t>-</w:t>
        <w:tab/>
      </w:r>
      <w:r>
        <w:t>+:================+:=============================================+</w:t>
      </w:r>
    </w:p>
    <w:p>
      <w:pPr>
        <w:pStyle w:val="CodeChangeLine"/>
        <w:tabs>
          <w:tab w:pos="567" w:val="left"/>
          <w:tab w:pos="1134" w:val="left"/>
          <w:tab w:pos="1247" w:val="left"/>
        </w:tabs>
        <w:shd w:val="clear" w:color="auto" w:fill="fbe9eb"/>
      </w:pPr>
      <w:r>
        <w:rPr>
          <w:color w:val="BFBFBF"/>
          <w:shd w:val="clear" w:color="auto" w:fill="#f9d7dc"/>
        </w:rPr>
        <w:t>9</w:t>
        <w:tab/>
        <w:tab/>
        <w:t>-</w:t>
        <w:tab/>
      </w:r>
      <w:r>
        <w:t>|Document Number  |oneM2M-TR-0077-V-0.2.0                        |</w:t>
      </w:r>
    </w:p>
    <w:p>
      <w:pPr>
        <w:pStyle w:val="CodeChangeLine"/>
        <w:tabs>
          <w:tab w:pos="567" w:val="left"/>
          <w:tab w:pos="1134" w:val="left"/>
          <w:tab w:pos="1247" w:val="left"/>
        </w:tabs>
        <w:shd w:val="clear" w:color="auto" w:fill="fbe9eb"/>
      </w:pPr>
      <w:r>
        <w:rPr>
          <w:color w:val="BFBFBF"/>
          <w:shd w:val="clear" w:color="auto" w:fill="#f9d7dc"/>
        </w:rPr>
        <w:t>10</w:t>
        <w:tab/>
        <w:tab/>
        <w:t>-</w:t>
        <w:tab/>
      </w:r>
      <w:r>
        <w:t>+-----------------+----------------------------------------------+</w:t>
      </w:r>
    </w:p>
    <w:p>
      <w:pPr>
        <w:pStyle w:val="CodeChangeLine"/>
        <w:tabs>
          <w:tab w:pos="567" w:val="left"/>
          <w:tab w:pos="1134" w:val="left"/>
          <w:tab w:pos="1247" w:val="left"/>
        </w:tabs>
        <w:shd w:val="clear" w:color="auto" w:fill="fbe9eb"/>
      </w:pPr>
      <w:r>
        <w:rPr>
          <w:color w:val="BFBFBF"/>
          <w:shd w:val="clear" w:color="auto" w:fill="#f9d7dc"/>
        </w:rPr>
        <w:t>11</w:t>
        <w:tab/>
        <w:tab/>
        <w:t>-</w:t>
        <w:tab/>
      </w:r>
      <w:r>
        <w:t>|Document Name:   |oneM2M and MEC integartion scenario and       |</w:t>
      </w:r>
    </w:p>
    <w:p>
      <w:pPr>
        <w:pStyle w:val="CodeChangeLine"/>
        <w:tabs>
          <w:tab w:pos="567" w:val="left"/>
          <w:tab w:pos="1134" w:val="left"/>
          <w:tab w:pos="1247" w:val="left"/>
        </w:tabs>
        <w:shd w:val="clear" w:color="auto" w:fill="fbe9eb"/>
      </w:pPr>
      <w:r>
        <w:rPr>
          <w:color w:val="BFBFBF"/>
          <w:shd w:val="clear" w:color="auto" w:fill="#f9d7dc"/>
        </w:rPr>
        <w:t>12</w:t>
        <w:tab/>
        <w:tab/>
        <w:t>-</w:t>
        <w:tab/>
      </w:r>
      <w:r>
        <w:t>|                 |mechanisms                                    |</w:t>
      </w:r>
    </w:p>
    <w:p>
      <w:pPr>
        <w:pStyle w:val="CodeChangeLine"/>
        <w:tabs>
          <w:tab w:pos="567" w:val="left"/>
          <w:tab w:pos="1134" w:val="left"/>
          <w:tab w:pos="1247" w:val="left"/>
        </w:tabs>
        <w:shd w:val="clear" w:color="auto" w:fill="fbe9eb"/>
      </w:pPr>
      <w:r>
        <w:rPr>
          <w:color w:val="BFBFBF"/>
          <w:shd w:val="clear" w:color="auto" w:fill="#f9d7dc"/>
        </w:rPr>
        <w:t>13</w:t>
        <w:tab/>
        <w:tab/>
        <w:t>-</w:t>
        <w:tab/>
      </w:r>
      <w:r>
        <w:t>+-----------------+----------------------------------------------+</w:t>
      </w:r>
    </w:p>
    <w:p>
      <w:pPr>
        <w:pStyle w:val="CodeChangeLine"/>
        <w:tabs>
          <w:tab w:pos="567" w:val="left"/>
          <w:tab w:pos="1134" w:val="left"/>
          <w:tab w:pos="1247" w:val="left"/>
        </w:tabs>
        <w:shd w:val="clear" w:color="auto" w:fill="fbe9eb"/>
      </w:pPr>
      <w:r>
        <w:rPr>
          <w:color w:val="BFBFBF"/>
          <w:shd w:val="clear" w:color="auto" w:fill="#f9d7dc"/>
        </w:rPr>
        <w:t>14</w:t>
        <w:tab/>
        <w:tab/>
        <w:t>-</w:t>
        <w:tab/>
      </w:r>
      <w:r>
        <w:t>|Date:            |&amp;lt;2025-09-29&gt;                               |</w:t>
      </w:r>
    </w:p>
    <w:p>
      <w:pPr>
        <w:pStyle w:val="CodeChangeLine"/>
        <w:tabs>
          <w:tab w:pos="567" w:val="left"/>
          <w:tab w:pos="1134" w:val="left"/>
          <w:tab w:pos="1247" w:val="left"/>
        </w:tabs>
        <w:shd w:val="clear" w:color="auto" w:fill="fbe9eb"/>
      </w:pPr>
      <w:r>
        <w:rPr>
          <w:color w:val="BFBFBF"/>
          <w:shd w:val="clear" w:color="auto" w:fill="#f9d7dc"/>
        </w:rPr>
        <w:t>15</w:t>
        <w:tab/>
        <w:tab/>
        <w:t>-</w:t>
        <w:tab/>
      </w:r>
      <w:r>
        <w:t>+-----------------+----------------------------------------------+</w:t>
      </w:r>
    </w:p>
    <w:p>
      <w:pPr>
        <w:pStyle w:val="CodeChangeLine"/>
        <w:tabs>
          <w:tab w:pos="567" w:val="left"/>
          <w:tab w:pos="1134" w:val="left"/>
          <w:tab w:pos="1247" w:val="left"/>
        </w:tabs>
        <w:shd w:val="clear" w:color="auto" w:fill="fbe9eb"/>
      </w:pPr>
      <w:r>
        <w:rPr>
          <w:color w:val="BFBFBF"/>
          <w:shd w:val="clear" w:color="auto" w:fill="#f9d7dc"/>
        </w:rPr>
        <w:t>16</w:t>
        <w:tab/>
        <w:tab/>
        <w:t>-</w:t>
        <w:tab/>
      </w:r>
      <w:r>
        <w:t>|Abstract:        |&amp;lt; An abstract of the document and          |</w:t>
      </w:r>
    </w:p>
    <w:p>
      <w:pPr>
        <w:pStyle w:val="CodeChangeLine"/>
        <w:tabs>
          <w:tab w:pos="567" w:val="left"/>
          <w:tab w:pos="1134" w:val="left"/>
          <w:tab w:pos="1247" w:val="left"/>
        </w:tabs>
        <w:shd w:val="clear" w:color="auto" w:fill="fbe9eb"/>
      </w:pPr>
      <w:r>
        <w:rPr>
          <w:color w:val="BFBFBF"/>
          <w:shd w:val="clear" w:color="auto" w:fill="#f9d7dc"/>
        </w:rPr>
        <w:t>17</w:t>
        <w:tab/>
        <w:tab/>
        <w:t>-</w:t>
        <w:tab/>
      </w:r>
      <w:r>
        <w:t>|                 |information that may be used in subsequent    |</w:t>
      </w:r>
    </w:p>
    <w:p>
      <w:pPr>
        <w:pStyle w:val="CodeChangeLine"/>
        <w:tabs>
          <w:tab w:pos="567" w:val="left"/>
          <w:tab w:pos="1134" w:val="left"/>
          <w:tab w:pos="1247" w:val="left"/>
        </w:tabs>
        <w:shd w:val="clear" w:color="auto" w:fill="fbe9eb"/>
      </w:pPr>
      <w:r>
        <w:rPr>
          <w:color w:val="BFBFBF"/>
          <w:shd w:val="clear" w:color="auto" w:fill="#f9d7dc"/>
        </w:rPr>
        <w:t>18</w:t>
        <w:tab/>
        <w:tab/>
        <w:t>-</w:t>
        <w:tab/>
      </w:r>
      <w:r>
        <w:t>|                 |electronic searches&gt;                          |</w:t>
      </w:r>
    </w:p>
    <w:p>
      <w:pPr>
        <w:pStyle w:val="CodeChangeLine"/>
        <w:tabs>
          <w:tab w:pos="567" w:val="left"/>
          <w:tab w:pos="1134" w:val="left"/>
          <w:tab w:pos="1247" w:val="left"/>
        </w:tabs>
        <w:shd w:val="clear" w:color="auto" w:fill="fbe9eb"/>
      </w:pPr>
      <w:r>
        <w:rPr>
          <w:color w:val="BFBFBF"/>
          <w:shd w:val="clear" w:color="auto" w:fill="#f9d7dc"/>
        </w:rPr>
        <w:t>19</w:t>
        <w:tab/>
        <w:tab/>
        <w:t>-</w:t>
        <w:tab/>
      </w:r>
      <w:r>
        <w:t>+-----------------+----------------------------------------------+</w:t>
      </w:r>
    </w:p>
    <w:p>
      <w:pPr>
        <w:pStyle w:val="CodeChangeLine"/>
        <w:tabs>
          <w:tab w:pos="567" w:val="left"/>
          <w:tab w:pos="1134" w:val="left"/>
          <w:tab w:pos="1247" w:val="left"/>
        </w:tabs>
        <w:shd w:val="clear" w:color="auto" w:fill="fbe9eb"/>
      </w:pPr>
      <w:r>
        <w:rPr>
          <w:color w:val="BFBFBF"/>
          <w:shd w:val="clear" w:color="auto" w:fill="#f9d7dc"/>
        </w:rPr>
        <w:t>20</w:t>
        <w:tab/>
        <w:tab/>
        <w:t>-</w:t>
        <w:tab/>
      </w:r>
      <w:r>
        <w:t>|Template Version: January 2020 (Do not modify)                  |</w:t>
      </w:r>
    </w:p>
    <w:p>
      <w:pPr>
        <w:pStyle w:val="CodeChangeLine"/>
        <w:tabs>
          <w:tab w:pos="567" w:val="left"/>
          <w:tab w:pos="1134" w:val="left"/>
          <w:tab w:pos="1247" w:val="left"/>
        </w:tabs>
        <w:shd w:val="clear" w:color="auto" w:fill="fbe9eb"/>
      </w:pPr>
      <w:r>
        <w:rPr>
          <w:color w:val="BFBFBF"/>
          <w:shd w:val="clear" w:color="auto" w:fill="#f9d7dc"/>
        </w:rPr>
        <w:t>21</w:t>
        <w:tab/>
        <w:tab/>
        <w:t>-</w:t>
        <w:tab/>
      </w:r>
      <w:r>
        <w:t>+----------------------------------------------------------------+</w:t>
      </w:r>
    </w:p>
    <w:p>
      <w:pPr>
        <w:pStyle w:val="CodeChangeLine"/>
        <w:tabs>
          <w:tab w:pos="567" w:val="left"/>
          <w:tab w:pos="1134" w:val="left"/>
          <w:tab w:pos="1247" w:val="left"/>
        </w:tabs>
        <w:shd w:val="clear" w:color="auto" w:fill="fbe9eb"/>
      </w:pPr>
      <w:r>
        <w:rPr>
          <w:color w:val="BFBFBF"/>
          <w:shd w:val="clear" w:color="auto" w:fill="#f9d7dc"/>
        </w:rPr>
        <w:t>22</w:t>
        <w:tab/>
        <w:tab/>
        <w:t>-</w:t>
        <w:tab/>
      </w:r>
      <w:r/>
    </w:p>
    <w:p>
      <w:pPr>
        <w:pStyle w:val="CodeChangeLine"/>
        <w:tabs>
          <w:tab w:pos="567" w:val="left"/>
          <w:tab w:pos="1134" w:val="left"/>
          <w:tab w:pos="1247" w:val="left"/>
        </w:tabs>
        <w:shd w:val="clear" w:color="auto" w:fill="fbe9eb"/>
      </w:pPr>
      <w:r>
        <w:rPr>
          <w:color w:val="BFBFBF"/>
          <w:shd w:val="clear" w:color="auto" w:fill="#f9d7dc"/>
        </w:rPr>
        <w:t>23</w:t>
        <w:tab/>
        <w:tab/>
        <w:t>-</w:t>
        <w:tab/>
      </w:r>
      <w:r/>
    </w:p>
    <w:p>
      <w:pPr>
        <w:pStyle w:val="CodeChangeLine"/>
        <w:tabs>
          <w:tab w:pos="567" w:val="left"/>
          <w:tab w:pos="1134" w:val="left"/>
          <w:tab w:pos="1247" w:val="left"/>
        </w:tabs>
        <w:shd w:val="clear" w:color="auto" w:fill="fbe9eb"/>
      </w:pPr>
      <w:r>
        <w:rPr>
          <w:color w:val="BFBFBF"/>
          <w:shd w:val="clear" w:color="auto" w:fill="#f9d7dc"/>
        </w:rPr>
        <w:t>24</w:t>
        <w:tab/>
        <w:tab/>
        <w:t>-</w:t>
        <w:tab/>
      </w:r>
      <w:r/>
    </w:p>
    <w:p>
      <w:pPr>
        <w:pStyle w:val="CodeChangeLine"/>
        <w:tabs>
          <w:tab w:pos="567" w:val="left"/>
          <w:tab w:pos="1134" w:val="left"/>
          <w:tab w:pos="1247" w:val="left"/>
        </w:tabs>
        <w:shd w:val="clear" w:color="auto" w:fill="fbe9eb"/>
      </w:pPr>
      <w:r>
        <w:rPr>
          <w:color w:val="BFBFBF"/>
          <w:shd w:val="clear" w:color="auto" w:fill="#f9d7dc"/>
        </w:rPr>
        <w:t>25</w:t>
        <w:tab/>
        <w:tab/>
        <w:t>-</w:t>
        <w:tab/>
      </w:r>
      <w:r>
        <w:t>The present document is provided for future development work within oneM2M only. The Partners accept no liability for any use of this report.</w:t>
      </w:r>
    </w:p>
    <w:p>
      <w:pPr>
        <w:pStyle w:val="CodeChangeLine"/>
        <w:tabs>
          <w:tab w:pos="567" w:val="left"/>
          <w:tab w:pos="1134" w:val="left"/>
          <w:tab w:pos="1247" w:val="left"/>
        </w:tabs>
        <w:shd w:val="clear" w:color="auto" w:fill="fbe9eb"/>
      </w:pPr>
      <w:r>
        <w:rPr>
          <w:color w:val="BFBFBF"/>
          <w:shd w:val="clear" w:color="auto" w:fill="#f9d7dc"/>
        </w:rPr>
        <w:t>26</w:t>
        <w:tab/>
        <w:tab/>
        <w:t>-</w:t>
        <w:tab/>
      </w:r>
      <w:r/>
    </w:p>
    <w:p>
      <w:pPr>
        <w:pStyle w:val="CodeChangeLine"/>
        <w:tabs>
          <w:tab w:pos="567" w:val="left"/>
          <w:tab w:pos="1134" w:val="left"/>
          <w:tab w:pos="1247" w:val="left"/>
        </w:tabs>
        <w:shd w:val="clear" w:color="auto" w:fill="fbe9eb"/>
      </w:pPr>
      <w:r>
        <w:rPr>
          <w:color w:val="BFBFBF"/>
          <w:shd w:val="clear" w:color="auto" w:fill="#f9d7dc"/>
        </w:rPr>
        <w:t>27</w:t>
        <w:tab/>
        <w:tab/>
        <w:t>-</w:t>
        <w:tab/>
      </w:r>
      <w:r>
        <w:t>The present document has not been subject to any approval process by the oneM2M Partners Type 1.  Published oneM2M specifications and reports for implementation should be obtained via the oneM2M Partners' Publications Offices.</w:t>
      </w:r>
    </w:p>
    <w:p>
      <w:pPr>
        <w:pStyle w:val="CodeChangeLine"/>
        <w:tabs>
          <w:tab w:pos="567" w:val="left"/>
          <w:tab w:pos="1134" w:val="left"/>
          <w:tab w:pos="1247" w:val="left"/>
        </w:tabs>
        <w:shd w:val="clear" w:color="auto" w:fill="fbe9eb"/>
      </w:pPr>
      <w:r>
        <w:rPr>
          <w:color w:val="BFBFBF"/>
          <w:shd w:val="clear" w:color="auto" w:fill="#f9d7dc"/>
        </w:rPr>
        <w:t>28</w:t>
        <w:tab/>
        <w:tab/>
        <w:t>-</w:t>
        <w:tab/>
      </w:r>
      <w:r/>
    </w:p>
    <w:p>
      <w:pPr>
        <w:pStyle w:val="CodeChangeLine"/>
        <w:tabs>
          <w:tab w:pos="567" w:val="left"/>
          <w:tab w:pos="1134" w:val="left"/>
          <w:tab w:pos="1247" w:val="left"/>
        </w:tabs>
        <w:shd w:val="clear" w:color="auto" w:fill="fbe9eb"/>
      </w:pPr>
      <w:r>
        <w:rPr>
          <w:color w:val="BFBFBF"/>
          <w:shd w:val="clear" w:color="auto" w:fill="#f9d7dc"/>
        </w:rPr>
        <w:t>29</w:t>
        <w:tab/>
        <w:tab/>
        <w:t>-</w:t>
        <w:tab/>
      </w:r>
      <w:r/>
    </w:p>
    <w:p>
      <w:pPr>
        <w:pStyle w:val="CodeChangeLine"/>
        <w:tabs>
          <w:tab w:pos="567" w:val="left"/>
          <w:tab w:pos="1134" w:val="left"/>
          <w:tab w:pos="1247" w:val="left"/>
        </w:tabs>
        <w:shd w:val="clear" w:color="auto" w:fill="fbe9eb"/>
      </w:pPr>
      <w:r>
        <w:rPr>
          <w:color w:val="BFBFBF"/>
          <w:shd w:val="clear" w:color="auto" w:fill="#f9d7dc"/>
        </w:rPr>
        <w:t>30</w:t>
        <w:tab/>
        <w:tab/>
        <w:t>-</w:t>
        <w:tab/>
      </w:r>
      <w:r/>
    </w:p>
    <w:p>
      <w:pPr>
        <w:pStyle w:val="CodeChangeLine"/>
        <w:tabs>
          <w:tab w:pos="567" w:val="left"/>
          <w:tab w:pos="1134" w:val="left"/>
          <w:tab w:pos="1247" w:val="left"/>
        </w:tabs>
        <w:shd w:val="clear" w:color="auto" w:fill="fbe9eb"/>
      </w:pPr>
      <w:r>
        <w:rPr>
          <w:color w:val="BFBFBF"/>
          <w:shd w:val="clear" w:color="auto" w:fill="#f9d7dc"/>
        </w:rPr>
        <w:t>31</w:t>
        <w:tab/>
        <w:tab/>
        <w:t>-</w:t>
        <w:tab/>
      </w:r>
      <w:r>
        <w:t xml:space="preserve">About oneM2M </w:t>
      </w:r>
    </w:p>
    <w:p>
      <w:pPr>
        <w:pStyle w:val="CodeChangeLine"/>
        <w:tabs>
          <w:tab w:pos="567" w:val="left"/>
          <w:tab w:pos="1134" w:val="left"/>
          <w:tab w:pos="1247" w:val="left"/>
        </w:tabs>
        <w:shd w:val="clear" w:color="auto" w:fill="fbe9eb"/>
      </w:pPr>
      <w:r>
        <w:rPr>
          <w:color w:val="BFBFBF"/>
          <w:shd w:val="clear" w:color="auto" w:fill="#f9d7dc"/>
        </w:rPr>
        <w:t>32</w:t>
        <w:tab/>
        <w:tab/>
        <w:t>-</w:t>
        <w:tab/>
      </w:r>
      <w:r/>
    </w:p>
    <w:p>
      <w:pPr>
        <w:pStyle w:val="CodeChangeLine"/>
        <w:tabs>
          <w:tab w:pos="567" w:val="left"/>
          <w:tab w:pos="1134" w:val="left"/>
          <w:tab w:pos="1247" w:val="left"/>
        </w:tabs>
        <w:shd w:val="clear" w:color="auto" w:fill="fbe9eb"/>
      </w:pPr>
      <w:r>
        <w:rPr>
          <w:color w:val="BFBFBF"/>
          <w:shd w:val="clear" w:color="auto" w:fill="#f9d7dc"/>
        </w:rPr>
        <w:t>33</w:t>
        <w:tab/>
        <w:tab/>
        <w:t>-</w:t>
        <w:tab/>
      </w: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pPr>
        <w:pStyle w:val="CodeChangeLine"/>
        <w:tabs>
          <w:tab w:pos="567" w:val="left"/>
          <w:tab w:pos="1134" w:val="left"/>
          <w:tab w:pos="1247" w:val="left"/>
        </w:tabs>
        <w:shd w:val="clear" w:color="auto" w:fill="fbe9eb"/>
      </w:pPr>
      <w:r>
        <w:rPr>
          <w:color w:val="BFBFBF"/>
          <w:shd w:val="clear" w:color="auto" w:fill="#f9d7dc"/>
        </w:rPr>
        <w:t>34</w:t>
        <w:tab/>
        <w:tab/>
        <w:t>-</w:t>
        <w:tab/>
      </w:r>
      <w:r/>
    </w:p>
    <w:p>
      <w:pPr>
        <w:pStyle w:val="CodeChangeLine"/>
        <w:tabs>
          <w:tab w:pos="567" w:val="left"/>
          <w:tab w:pos="1134" w:val="left"/>
          <w:tab w:pos="1247" w:val="left"/>
        </w:tabs>
        <w:shd w:val="clear" w:color="auto" w:fill="fbe9eb"/>
      </w:pPr>
      <w:r>
        <w:rPr>
          <w:color w:val="BFBFBF"/>
          <w:shd w:val="clear" w:color="auto" w:fill="#f9d7dc"/>
        </w:rPr>
        <w:t>35</w:t>
        <w:tab/>
        <w:tab/>
        <w:t>-</w:t>
        <w:tab/>
      </w:r>
      <w:r>
        <w:t>More information about oneM2M may be found at:  http//www.oneM2M.org</w:t>
      </w:r>
    </w:p>
    <w:p>
      <w:pPr>
        <w:pStyle w:val="CodeChangeLine"/>
        <w:tabs>
          <w:tab w:pos="567" w:val="left"/>
          <w:tab w:pos="1134" w:val="left"/>
          <w:tab w:pos="1247" w:val="left"/>
        </w:tabs>
        <w:shd w:val="clear" w:color="auto" w:fill="fbe9eb"/>
      </w:pPr>
      <w:r>
        <w:rPr>
          <w:color w:val="BFBFBF"/>
          <w:shd w:val="clear" w:color="auto" w:fill="#f9d7dc"/>
        </w:rPr>
        <w:t>36</w:t>
        <w:tab/>
        <w:tab/>
        <w:t>-</w:t>
        <w:tab/>
      </w:r>
      <w:r/>
    </w:p>
    <w:p>
      <w:pPr>
        <w:pStyle w:val="CodeChangeLine"/>
        <w:tabs>
          <w:tab w:pos="567" w:val="left"/>
          <w:tab w:pos="1134" w:val="left"/>
          <w:tab w:pos="1247" w:val="left"/>
        </w:tabs>
        <w:shd w:val="clear" w:color="auto" w:fill="fbe9eb"/>
      </w:pPr>
      <w:r>
        <w:rPr>
          <w:color w:val="BFBFBF"/>
          <w:shd w:val="clear" w:color="auto" w:fill="#f9d7dc"/>
        </w:rPr>
        <w:t>37</w:t>
        <w:tab/>
        <w:tab/>
        <w:t>-</w:t>
        <w:tab/>
      </w:r>
      <w:r/>
    </w:p>
    <w:p>
      <w:pPr>
        <w:pStyle w:val="CodeChangeLine"/>
        <w:tabs>
          <w:tab w:pos="567" w:val="left"/>
          <w:tab w:pos="1134" w:val="left"/>
          <w:tab w:pos="1247" w:val="left"/>
        </w:tabs>
        <w:shd w:val="clear" w:color="auto" w:fill="fbe9eb"/>
      </w:pPr>
      <w:r>
        <w:rPr>
          <w:color w:val="BFBFBF"/>
          <w:shd w:val="clear" w:color="auto" w:fill="#f9d7dc"/>
        </w:rPr>
        <w:t>38</w:t>
        <w:tab/>
        <w:tab/>
        <w:t>-</w:t>
        <w:tab/>
      </w:r>
      <w:r/>
    </w:p>
    <w:p>
      <w:pPr>
        <w:pStyle w:val="CodeChangeLine"/>
        <w:tabs>
          <w:tab w:pos="567" w:val="left"/>
          <w:tab w:pos="1134" w:val="left"/>
          <w:tab w:pos="1247" w:val="left"/>
        </w:tabs>
        <w:shd w:val="clear" w:color="auto" w:fill="fbe9eb"/>
      </w:pPr>
      <w:r>
        <w:rPr>
          <w:color w:val="BFBFBF"/>
          <w:shd w:val="clear" w:color="auto" w:fill="#f9d7dc"/>
        </w:rPr>
        <w:t>39</w:t>
        <w:tab/>
        <w:tab/>
        <w:t>-</w:t>
        <w:tab/>
      </w:r>
      <w:r>
        <w:t>Copyright Notification</w:t>
      </w:r>
    </w:p>
    <w:p>
      <w:pPr>
        <w:pStyle w:val="CodeChangeLine"/>
        <w:tabs>
          <w:tab w:pos="567" w:val="left"/>
          <w:tab w:pos="1134" w:val="left"/>
          <w:tab w:pos="1247" w:val="left"/>
        </w:tabs>
        <w:shd w:val="clear" w:color="auto" w:fill="fbe9eb"/>
      </w:pPr>
      <w:r>
        <w:rPr>
          <w:color w:val="BFBFBF"/>
          <w:shd w:val="clear" w:color="auto" w:fill="#f9d7dc"/>
        </w:rPr>
        <w:t>40</w:t>
        <w:tab/>
        <w:tab/>
        <w:t>-</w:t>
        <w:tab/>
      </w:r>
      <w:r/>
    </w:p>
    <w:p>
      <w:pPr>
        <w:pStyle w:val="CodeChangeLine"/>
        <w:tabs>
          <w:tab w:pos="567" w:val="left"/>
          <w:tab w:pos="1134" w:val="left"/>
          <w:tab w:pos="1247" w:val="left"/>
        </w:tabs>
        <w:shd w:val="clear" w:color="auto" w:fill="fbe9eb"/>
      </w:pPr>
      <w:r>
        <w:rPr>
          <w:color w:val="BFBFBF"/>
          <w:shd w:val="clear" w:color="auto" w:fill="#f9d7dc"/>
        </w:rPr>
        <w:t>41</w:t>
        <w:tab/>
        <w:tab/>
        <w:t>-</w:t>
        <w:tab/>
      </w:r>
      <w:r>
        <w:t>(c) 2025, oneM2M Partners Type 1.</w:t>
      </w:r>
    </w:p>
    <w:p>
      <w:pPr>
        <w:pStyle w:val="CodeChangeLine"/>
        <w:tabs>
          <w:tab w:pos="567" w:val="left"/>
          <w:tab w:pos="1134" w:val="left"/>
          <w:tab w:pos="1247" w:val="left"/>
        </w:tabs>
        <w:shd w:val="clear" w:color="auto" w:fill="fbe9eb"/>
      </w:pPr>
      <w:r>
        <w:rPr>
          <w:color w:val="BFBFBF"/>
          <w:shd w:val="clear" w:color="auto" w:fill="#f9d7dc"/>
        </w:rPr>
        <w:t>42</w:t>
        <w:tab/>
        <w:tab/>
        <w:t>-</w:t>
        <w:tab/>
      </w:r>
      <w:r/>
    </w:p>
    <w:p>
      <w:pPr>
        <w:pStyle w:val="CodeChangeLine"/>
        <w:tabs>
          <w:tab w:pos="567" w:val="left"/>
          <w:tab w:pos="1134" w:val="left"/>
          <w:tab w:pos="1247" w:val="left"/>
        </w:tabs>
        <w:shd w:val="clear" w:color="auto" w:fill="fbe9eb"/>
      </w:pPr>
      <w:r>
        <w:rPr>
          <w:color w:val="BFBFBF"/>
          <w:shd w:val="clear" w:color="auto" w:fill="#f9d7dc"/>
        </w:rPr>
        <w:t>43</w:t>
        <w:tab/>
        <w:tab/>
        <w:t>-</w:t>
        <w:tab/>
      </w:r>
      <w:r>
        <w:t>All rights reserved.</w:t>
      </w:r>
    </w:p>
    <w:p>
      <w:pPr>
        <w:pStyle w:val="CodeChangeLine"/>
        <w:tabs>
          <w:tab w:pos="567" w:val="left"/>
          <w:tab w:pos="1134" w:val="left"/>
          <w:tab w:pos="1247" w:val="left"/>
        </w:tabs>
        <w:shd w:val="clear" w:color="auto" w:fill="fbe9eb"/>
      </w:pPr>
      <w:r>
        <w:rPr>
          <w:color w:val="BFBFBF"/>
          <w:shd w:val="clear" w:color="auto" w:fill="#f9d7dc"/>
        </w:rPr>
        <w:t>44</w:t>
        <w:tab/>
        <w:tab/>
        <w:t>-</w:t>
        <w:tab/>
      </w:r>
      <w:r/>
    </w:p>
    <w:p>
      <w:pPr>
        <w:pStyle w:val="CodeChangeLine"/>
        <w:tabs>
          <w:tab w:pos="567" w:val="left"/>
          <w:tab w:pos="1134" w:val="left"/>
          <w:tab w:pos="1247" w:val="left"/>
        </w:tabs>
        <w:shd w:val="clear" w:color="auto" w:fill="fbe9eb"/>
      </w:pPr>
      <w:r>
        <w:rPr>
          <w:color w:val="BFBFBF"/>
          <w:shd w:val="clear" w:color="auto" w:fill="#f9d7dc"/>
        </w:rPr>
        <w:t>45</w:t>
        <w:tab/>
        <w:tab/>
        <w:t>-</w:t>
        <w:tab/>
      </w:r>
      <w:r>
        <w:t>The copyright and the foregoing restriction extend to reproduction in all media.</w:t>
      </w:r>
    </w:p>
    <w:p>
      <w:pPr>
        <w:pStyle w:val="CodeChangeLine"/>
        <w:tabs>
          <w:tab w:pos="567" w:val="left"/>
          <w:tab w:pos="1134" w:val="left"/>
          <w:tab w:pos="1247" w:val="left"/>
        </w:tabs>
        <w:shd w:val="clear" w:color="auto" w:fill="fbe9eb"/>
      </w:pPr>
      <w:r>
        <w:rPr>
          <w:color w:val="BFBFBF"/>
          <w:shd w:val="clear" w:color="auto" w:fill="#f9d7dc"/>
        </w:rPr>
        <w:t>46</w:t>
        <w:tab/>
        <w:tab/>
        <w:t>-</w:t>
        <w:tab/>
      </w:r>
      <w:r/>
    </w:p>
    <w:p>
      <w:pPr>
        <w:pStyle w:val="CodeChangeLine"/>
        <w:tabs>
          <w:tab w:pos="567" w:val="left"/>
          <w:tab w:pos="1134" w:val="left"/>
          <w:tab w:pos="1247" w:val="left"/>
        </w:tabs>
        <w:shd w:val="clear" w:color="auto" w:fill="fbe9eb"/>
      </w:pPr>
      <w:r>
        <w:rPr>
          <w:color w:val="BFBFBF"/>
          <w:shd w:val="clear" w:color="auto" w:fill="#f9d7dc"/>
        </w:rPr>
        <w:t>47</w:t>
        <w:tab/>
        <w:tab/>
        <w:t>-</w:t>
        <w:tab/>
      </w:r>
      <w:r/>
    </w:p>
    <w:p>
      <w:pPr>
        <w:pStyle w:val="CodeChangeLine"/>
        <w:tabs>
          <w:tab w:pos="567" w:val="left"/>
          <w:tab w:pos="1134" w:val="left"/>
          <w:tab w:pos="1247" w:val="left"/>
        </w:tabs>
        <w:shd w:val="clear" w:color="auto" w:fill="fbe9eb"/>
      </w:pPr>
      <w:r>
        <w:rPr>
          <w:color w:val="BFBFBF"/>
          <w:shd w:val="clear" w:color="auto" w:fill="#f9d7dc"/>
        </w:rPr>
        <w:t>48</w:t>
        <w:tab/>
        <w:tab/>
        <w:t>-</w:t>
        <w:tab/>
      </w:r>
      <w:r/>
    </w:p>
    <w:p>
      <w:pPr>
        <w:pStyle w:val="CodeChangeLine"/>
        <w:tabs>
          <w:tab w:pos="567" w:val="left"/>
          <w:tab w:pos="1134" w:val="left"/>
          <w:tab w:pos="1247" w:val="left"/>
        </w:tabs>
        <w:shd w:val="clear" w:color="auto" w:fill="fbe9eb"/>
      </w:pPr>
      <w:r>
        <w:rPr>
          <w:color w:val="BFBFBF"/>
          <w:shd w:val="clear" w:color="auto" w:fill="#f9d7dc"/>
        </w:rPr>
        <w:t>49</w:t>
        <w:tab/>
        <w:tab/>
        <w:t>-</w:t>
        <w:tab/>
      </w:r>
      <w:r>
        <w:t xml:space="preserve">Notice of Disclaimer &amp; Limitation of Liability </w:t>
      </w:r>
    </w:p>
    <w:p>
      <w:pPr>
        <w:pStyle w:val="CodeChangeLine"/>
        <w:tabs>
          <w:tab w:pos="567" w:val="left"/>
          <w:tab w:pos="1134" w:val="left"/>
          <w:tab w:pos="1247" w:val="left"/>
        </w:tabs>
        <w:shd w:val="clear" w:color="auto" w:fill="fbe9eb"/>
      </w:pPr>
      <w:r>
        <w:rPr>
          <w:color w:val="BFBFBF"/>
          <w:shd w:val="clear" w:color="auto" w:fill="#f9d7dc"/>
        </w:rPr>
        <w:t>50</w:t>
        <w:tab/>
        <w:tab/>
        <w:t>-</w:t>
        <w:tab/>
      </w:r>
      <w:r/>
    </w:p>
    <w:p>
      <w:pPr>
        <w:pStyle w:val="CodeChangeLine"/>
        <w:tabs>
          <w:tab w:pos="567" w:val="left"/>
          <w:tab w:pos="1134" w:val="left"/>
          <w:tab w:pos="1247" w:val="left"/>
        </w:tabs>
        <w:shd w:val="clear" w:color="auto" w:fill="fbe9eb"/>
      </w:pPr>
      <w:r>
        <w:rPr>
          <w:color w:val="BFBFBF"/>
          <w:shd w:val="clear" w:color="auto" w:fill="#f9d7dc"/>
        </w:rPr>
        <w:t>51</w:t>
        <w:tab/>
        <w:tab/>
        <w:t>-</w:t>
        <w:tab/>
      </w: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pPr>
        <w:pStyle w:val="CodeChangeLine"/>
        <w:tabs>
          <w:tab w:pos="567" w:val="left"/>
          <w:tab w:pos="1134" w:val="left"/>
          <w:tab w:pos="1247" w:val="left"/>
        </w:tabs>
        <w:shd w:val="clear" w:color="auto" w:fill="fbe9eb"/>
      </w:pPr>
      <w:r>
        <w:rPr>
          <w:color w:val="BFBFBF"/>
          <w:shd w:val="clear" w:color="auto" w:fill="#f9d7dc"/>
        </w:rPr>
        <w:t>52</w:t>
        <w:tab/>
        <w:tab/>
        <w:t>-</w:t>
        <w:tab/>
      </w:r>
      <w:r/>
    </w:p>
    <w:p>
      <w:pPr>
        <w:pStyle w:val="CodeChangeLine"/>
        <w:tabs>
          <w:tab w:pos="567" w:val="left"/>
          <w:tab w:pos="1134" w:val="left"/>
          <w:tab w:pos="1247" w:val="left"/>
        </w:tabs>
        <w:shd w:val="clear" w:color="auto" w:fill="fbe9eb"/>
      </w:pPr>
      <w:r>
        <w:rPr>
          <w:color w:val="BFBFBF"/>
          <w:shd w:val="clear" w:color="auto" w:fill="#f9d7dc"/>
        </w:rPr>
        <w:t>53</w:t>
        <w:tab/>
        <w:tab/>
        <w:t>-</w:t>
        <w:tab/>
      </w:r>
      <w: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pPr>
        <w:pStyle w:val="CodeChangeLine"/>
        <w:tabs>
          <w:tab w:pos="567" w:val="left"/>
          <w:tab w:pos="1134" w:val="left"/>
          <w:tab w:pos="1247" w:val="left"/>
        </w:tabs>
        <w:shd w:val="clear" w:color="auto" w:fill="fbe9eb"/>
      </w:pPr>
      <w:r>
        <w:rPr>
          <w:color w:val="BFBFBF"/>
          <w:shd w:val="clear" w:color="auto" w:fill="#f9d7dc"/>
        </w:rPr>
        <w:t>54</w:t>
        <w:tab/>
        <w:tab/>
        <w:t>-</w:t>
        <w:tab/>
      </w:r>
      <w:r/>
    </w:p>
    <w:p>
      <w:pPr>
        <w:pStyle w:val="CodeChangeLine"/>
        <w:tabs>
          <w:tab w:pos="567" w:val="left"/>
          <w:tab w:pos="1134" w:val="left"/>
          <w:tab w:pos="1247" w:val="left"/>
        </w:tabs>
        <w:shd w:val="clear" w:color="auto" w:fill="fbe9eb"/>
      </w:pPr>
      <w:r>
        <w:rPr>
          <w:color w:val="BFBFBF"/>
          <w:shd w:val="clear" w:color="auto" w:fill="#f9d7dc"/>
        </w:rPr>
        <w:t>55</w:t>
        <w:tab/>
        <w:tab/>
        <w:t>-</w:t>
        <w:tab/>
      </w:r>
      <w:r/>
    </w:p>
    <w:p>
      <w:pPr>
        <w:pStyle w:val="CodeChangeLine"/>
        <w:tabs>
          <w:tab w:pos="567" w:val="left"/>
          <w:tab w:pos="1134" w:val="left"/>
          <w:tab w:pos="1247" w:val="left"/>
        </w:tabs>
        <w:shd w:val="clear" w:color="auto" w:fill="fbe9eb"/>
      </w:pPr>
      <w:r>
        <w:rPr>
          <w:color w:val="BFBFBF"/>
          <w:shd w:val="clear" w:color="auto" w:fill="#f9d7dc"/>
        </w:rPr>
        <w:t>56</w:t>
        <w:tab/>
        <w:tab/>
        <w:t>-</w:t>
        <w:tab/>
      </w:r>
      <w:r>
        <w:t># Contents</w:t>
      </w:r>
    </w:p>
    <w:p>
      <w:pPr>
        <w:pStyle w:val="CodeChangeLine"/>
        <w:tabs>
          <w:tab w:pos="567" w:val="left"/>
          <w:tab w:pos="1134" w:val="left"/>
          <w:tab w:pos="1247" w:val="left"/>
        </w:tabs>
        <w:shd w:val="clear" w:color="auto" w:fill="ecfdf0"/>
      </w:pPr>
      <w:r>
        <w:rPr>
          <w:color w:val="BFBFBF"/>
          <w:shd w:val="clear" w:color="auto" w:fill="#ddfbe6"/>
        </w:rPr>
        <w:tab/>
        <w:t>1</w:t>
        <w:tab/>
        <w:t>+</w:t>
        <w:tab/>
      </w:r>
      <w:r>
        <w:t>---</w:t>
      </w:r>
    </w:p>
    <w:p>
      <w:pPr>
        <w:pStyle w:val="CodeChangeLine"/>
        <w:tabs>
          <w:tab w:pos="567" w:val="left"/>
          <w:tab w:pos="1134" w:val="left"/>
          <w:tab w:pos="1247" w:val="left"/>
        </w:tabs>
        <w:shd w:val="clear" w:color="auto" w:fill="ecfdf0"/>
      </w:pPr>
      <w:r>
        <w:rPr>
          <w:color w:val="BFBFBF"/>
          <w:shd w:val="clear" w:color="auto" w:fill="#ddfbe6"/>
        </w:rPr>
        <w:tab/>
        <w:t>2</w:t>
        <w:tab/>
        <w:t>+</w:t>
        <w:tab/>
      </w:r>
      <w:r>
        <w:t xml:space="preserve">Title: oneM2M and MEC integration scenario and mechanisms  </w:t>
      </w:r>
    </w:p>
    <w:p>
      <w:pPr>
        <w:pStyle w:val="CodeChangeLine"/>
        <w:tabs>
          <w:tab w:pos="567" w:val="left"/>
          <w:tab w:pos="1134" w:val="left"/>
          <w:tab w:pos="1247" w:val="left"/>
        </w:tabs>
        <w:shd w:val="clear" w:color="auto" w:fill="ecfdf0"/>
      </w:pPr>
      <w:r>
        <w:rPr>
          <w:color w:val="BFBFBF"/>
          <w:shd w:val="clear" w:color="auto" w:fill="#ddfbe6"/>
        </w:rPr>
        <w:tab/>
        <w:t>3</w:t>
        <w:tab/>
        <w:t>+</w:t>
        <w:tab/>
      </w:r>
      <w:r>
        <w:t>Spec Number: TR-0077</w:t>
      </w:r>
    </w:p>
    <w:p>
      <w:pPr>
        <w:pStyle w:val="CodeChangeLine"/>
        <w:tabs>
          <w:tab w:pos="567" w:val="left"/>
          <w:tab w:pos="1134" w:val="left"/>
          <w:tab w:pos="1247" w:val="left"/>
        </w:tabs>
        <w:shd w:val="clear" w:color="auto" w:fill="ecfdf0"/>
      </w:pPr>
      <w:r>
        <w:rPr>
          <w:color w:val="BFBFBF"/>
          <w:shd w:val="clear" w:color="auto" w:fill="#ddfbe6"/>
        </w:rPr>
        <w:tab/>
        <w:t>4</w:t>
        <w:tab/>
        <w:t>+</w:t>
        <w:tab/>
      </w:r>
      <w:r>
        <w:t>Version: v0.3.0</w:t>
      </w:r>
    </w:p>
    <w:p>
      <w:pPr>
        <w:pStyle w:val="CodeChangeLine"/>
        <w:tabs>
          <w:tab w:pos="567" w:val="left"/>
          <w:tab w:pos="1134" w:val="left"/>
          <w:tab w:pos="1247" w:val="left"/>
        </w:tabs>
        <w:shd w:val="clear" w:color="auto" w:fill="ecfdf0"/>
      </w:pPr>
      <w:r>
        <w:rPr>
          <w:color w:val="BFBFBF"/>
          <w:shd w:val="clear" w:color="auto" w:fill="#ddfbe6"/>
        </w:rPr>
        <w:tab/>
        <w:t>5</w:t>
        <w:tab/>
        <w:t>+</w:t>
        <w:tab/>
      </w:r>
      <w:r>
        <w:t>Date: 2026-03-26</w:t>
      </w:r>
    </w:p>
    <w:p>
      <w:pPr>
        <w:pStyle w:val="CodeChangeLine"/>
        <w:tabs>
          <w:tab w:pos="567" w:val="left"/>
          <w:tab w:pos="1134" w:val="left"/>
          <w:tab w:pos="1247" w:val="left"/>
        </w:tabs>
        <w:shd w:val="clear" w:color="auto" w:fill="ecfdf0"/>
      </w:pPr>
      <w:r>
        <w:rPr>
          <w:color w:val="BFBFBF"/>
          <w:shd w:val="clear" w:color="auto" w:fill="#ddfbe6"/>
        </w:rPr>
        <w:tab/>
        <w:t>6</w:t>
        <w:tab/>
        <w:t>+</w:t>
        <w:tab/>
      </w:r>
      <w:r>
        <w:t>Abstract: TBD An abstract of the document and information that may be used in subsequent electronic searches</w:t>
      </w:r>
    </w:p>
    <w:p>
      <w:pPr>
        <w:pStyle w:val="CodeChangeLine"/>
        <w:tabs>
          <w:tab w:pos="567" w:val="left"/>
          <w:tab w:pos="1134" w:val="left"/>
          <w:tab w:pos="1247" w:val="left"/>
        </w:tabs>
        <w:shd w:val="clear" w:color="auto" w:fill="ecfdf0"/>
      </w:pPr>
      <w:r>
        <w:rPr>
          <w:color w:val="BFBFBF"/>
          <w:shd w:val="clear" w:color="auto" w:fill="#ddfbe6"/>
        </w:rPr>
        <w:tab/>
        <w:t>7</w:t>
        <w:tab/>
        <w:t>+</w:t>
        <w:tab/>
      </w:r>
      <w:r>
        <w:t>Copyright Year: 2026</w:t>
      </w:r>
    </w:p>
    <w:p>
      <w:pPr>
        <w:pStyle w:val="CodeChangeLine"/>
        <w:tabs>
          <w:tab w:pos="567" w:val="left"/>
          <w:tab w:pos="1134" w:val="left"/>
          <w:tab w:pos="1247" w:val="left"/>
        </w:tabs>
        <w:shd w:val="clear" w:color="auto" w:fill="ecfdf0"/>
      </w:pPr>
      <w:r>
        <w:rPr>
          <w:color w:val="BFBFBF"/>
          <w:shd w:val="clear" w:color="auto" w:fill="#ddfbe6"/>
        </w:rPr>
        <w:tab/>
        <w:t>8</w:t>
        <w:tab/>
        <w:t>+</w:t>
        <w:tab/>
      </w:r>
      <w:r>
        <w:t>Copyright: oneM2M Partners Type 1. All rights reserved. The copyright extends to reproduction in all media.</w:t>
      </w:r>
    </w:p>
    <w:p>
      <w:pPr>
        <w:pStyle w:val="CodeChangeLine"/>
        <w:tabs>
          <w:tab w:pos="567" w:val="left"/>
          <w:tab w:pos="1134" w:val="left"/>
          <w:tab w:pos="1247" w:val="left"/>
        </w:tabs>
        <w:shd w:val="clear" w:color="auto" w:fill="ecfdf0"/>
      </w:pPr>
      <w:r>
        <w:rPr>
          <w:color w:val="BFBFBF"/>
          <w:shd w:val="clear" w:color="auto" w:fill="#ddfbe6"/>
        </w:rPr>
        <w:tab/>
        <w:t>9</w:t>
        <w:tab/>
        <w:t>+</w:t>
        <w:tab/>
      </w:r>
      <w:r>
        <w:t>---</w:t>
      </w:r>
    </w:p>
    <w:p>
      <w:pPr>
        <w:pStyle w:val="CodeChangeLine"/>
        <w:tabs>
          <w:tab w:pos="567" w:val="left"/>
          <w:tab w:pos="1134" w:val="left"/>
          <w:tab w:pos="1247" w:val="left"/>
        </w:tabs>
      </w:pPr>
      <w:r>
        <w:rPr>
          <w:color w:val="BFBFBF"/>
          <w:shd w:val="clear" w:color="auto" w:fill="fafafa"/>
        </w:rPr>
        <w:t>57</w:t>
        <w:tab/>
        <w:t>10</w:t>
        <w:tab/>
        <w:tab/>
      </w:r>
      <w:r/>
    </w:p>
    <w:p>
      <w:pPr>
        <w:pStyle w:val="CodeChangeLine"/>
        <w:tabs>
          <w:tab w:pos="567" w:val="left"/>
          <w:tab w:pos="1134" w:val="left"/>
          <w:tab w:pos="1247" w:val="left"/>
        </w:tabs>
      </w:pPr>
      <w:r>
        <w:rPr>
          <w:color w:val="BFBFBF"/>
          <w:shd w:val="clear" w:color="auto" w:fill="fafafa"/>
        </w:rPr>
        <w:t>58</w:t>
        <w:tab/>
        <w:t>11</w:t>
        <w:tab/>
        <w:tab/>
      </w:r>
      <w:r>
        <w:t># 1 Scope</w:t>
      </w:r>
    </w:p>
    <w:p>
      <w:pPr>
        <w:pStyle w:val="CodeChangeLine"/>
        <w:tabs>
          <w:tab w:pos="567" w:val="left"/>
          <w:tab w:pos="1134" w:val="left"/>
          <w:tab w:pos="1247" w:val="left"/>
        </w:tabs>
      </w:pPr>
      <w:r>
        <w:rPr>
          <w:color w:val="BFBFBF"/>
          <w:shd w:val="clear" w:color="auto" w:fill="fafafa"/>
        </w:rPr>
        <w:t>59</w:t>
        <w:tab/>
        <w:t>12</w:t>
        <w:tab/>
        <w:tab/>
      </w:r>
      <w:r>
        <w:t>The present document ...</w:t>
      </w:r>
    </w:p>
    <w:p>
      <w:pPr>
        <w:pStyle w:val="CodeHeader"/>
      </w:pPr>
      <w:r>
        <w:t xml:space="preserve">@@ -438,7 +391,6 @@ </w:t>
      </w:r>
    </w:p>
    <w:p>
      <w:pPr>
        <w:pStyle w:val="CodeChangeLine"/>
        <w:tabs>
          <w:tab w:pos="567" w:val="left"/>
          <w:tab w:pos="1134" w:val="left"/>
          <w:tab w:pos="1247" w:val="left"/>
        </w:tabs>
      </w:pPr>
      <w:r>
        <w:rPr>
          <w:color w:val="BFBFBF"/>
          <w:shd w:val="clear" w:color="auto" w:fill="fafafa"/>
        </w:rPr>
        <w:t>438</w:t>
        <w:tab/>
        <w:t>391</w:t>
        <w:tab/>
        <w:tab/>
      </w:r>
      <w:r>
        <w:t>![Fig 6.5.2](media/federated_learning_option_2_updated.png)</w:t>
      </w:r>
    </w:p>
    <w:p>
      <w:pPr>
        <w:pStyle w:val="CodeChangeLine"/>
        <w:tabs>
          <w:tab w:pos="567" w:val="left"/>
          <w:tab w:pos="1134" w:val="left"/>
          <w:tab w:pos="1247" w:val="left"/>
        </w:tabs>
      </w:pPr>
      <w:r>
        <w:rPr>
          <w:color w:val="BFBFBF"/>
          <w:shd w:val="clear" w:color="auto" w:fill="fafafa"/>
        </w:rPr>
        <w:t>439</w:t>
        <w:tab/>
        <w:t>392</w:t>
        <w:tab/>
        <w:tab/>
      </w:r>
      <w:r/>
    </w:p>
    <w:p>
      <w:pPr>
        <w:pStyle w:val="CodeChangeLine"/>
        <w:tabs>
          <w:tab w:pos="567" w:val="left"/>
          <w:tab w:pos="1134" w:val="left"/>
          <w:tab w:pos="1247" w:val="left"/>
        </w:tabs>
      </w:pPr>
      <w:r>
        <w:rPr>
          <w:color w:val="BFBFBF"/>
          <w:shd w:val="clear" w:color="auto" w:fill="fafafa"/>
        </w:rPr>
        <w:t>440</w:t>
        <w:tab/>
        <w:t>393</w:t>
        <w:tab/>
        <w:tab/>
      </w:r>
      <w:r>
        <w:t>**Fig 6.5.2 Federated Learning Orchestration - Option 2**</w:t>
      </w:r>
    </w:p>
    <w:p>
      <w:pPr>
        <w:pStyle w:val="CodeChangeLine"/>
        <w:tabs>
          <w:tab w:pos="567" w:val="left"/>
          <w:tab w:pos="1134" w:val="left"/>
          <w:tab w:pos="1247" w:val="left"/>
        </w:tabs>
        <w:shd w:val="clear" w:color="auto" w:fill="fbe9eb"/>
      </w:pPr>
      <w:r>
        <w:rPr>
          <w:color w:val="BFBFBF"/>
          <w:shd w:val="clear" w:color="auto" w:fill="#f9d7dc"/>
        </w:rPr>
        <w:t>441</w:t>
        <w:tab/>
        <w:tab/>
        <w:t>-</w:t>
        <w:tab/>
      </w:r>
      <w:r/>
    </w:p>
    <w:p>
      <w:pPr>
        <w:pStyle w:val="CodeChangeLine"/>
        <w:tabs>
          <w:tab w:pos="567" w:val="left"/>
          <w:tab w:pos="1134" w:val="left"/>
          <w:tab w:pos="1247" w:val="left"/>
        </w:tabs>
      </w:pPr>
      <w:r>
        <w:rPr>
          <w:color w:val="BFBFBF"/>
          <w:shd w:val="clear" w:color="auto" w:fill="fafafa"/>
        </w:rPr>
        <w:t>442</w:t>
        <w:tab/>
        <w:t>394</w:t>
        <w:tab/>
        <w:tab/>
      </w:r>
      <w:r/>
    </w:p>
    <w:p>
      <w:pPr>
        <w:pStyle w:val="CodeChangeLine"/>
        <w:tabs>
          <w:tab w:pos="567" w:val="left"/>
          <w:tab w:pos="1134" w:val="left"/>
          <w:tab w:pos="1247" w:val="left"/>
        </w:tabs>
      </w:pPr>
      <w:r>
        <w:rPr>
          <w:color w:val="BFBFBF"/>
          <w:shd w:val="clear" w:color="auto" w:fill="fafafa"/>
        </w:rPr>
        <w:t>443</w:t>
        <w:tab/>
        <w:t>395</w:t>
        <w:tab/>
        <w:tab/>
      </w:r>
      <w:r/>
    </w:p>
    <w:p>
      <w:pPr>
        <w:pStyle w:val="CodeChangeLine"/>
        <w:tabs>
          <w:tab w:pos="567" w:val="left"/>
          <w:tab w:pos="1134" w:val="left"/>
          <w:tab w:pos="1247" w:val="left"/>
        </w:tabs>
      </w:pPr>
      <w:r>
        <w:rPr>
          <w:color w:val="BFBFBF"/>
          <w:shd w:val="clear" w:color="auto" w:fill="fafafa"/>
        </w:rPr>
        <w:t>444</w:t>
        <w:tab/>
        <w:t>396</w:t>
        <w:tab/>
        <w:tab/>
      </w:r>
      <w:r>
        <w:t>The orchestration mechanism should be able to perform the following steps:</w:t>
      </w:r>
    </w:p>
    <w:p>
      <w:pPr>
        <w:pStyle w:val="CodeHeader"/>
      </w:pPr>
      <w:r>
        <w:t xml:space="preserve">@@ -470,13 +422,538 @@ </w:t>
      </w:r>
    </w:p>
    <w:p>
      <w:pPr>
        <w:pStyle w:val="CodeChangeLine"/>
        <w:tabs>
          <w:tab w:pos="567" w:val="left"/>
          <w:tab w:pos="1134" w:val="left"/>
          <w:tab w:pos="1247" w:val="left"/>
        </w:tabs>
      </w:pPr>
      <w:r>
        <w:rPr>
          <w:color w:val="BFBFBF"/>
          <w:shd w:val="clear" w:color="auto" w:fill="fafafa"/>
        </w:rPr>
        <w:t>470</w:t>
        <w:tab/>
        <w:t>422</w:t>
        <w:tab/>
        <w:tab/>
      </w:r>
      <w:r>
        <w:t>### 7.1.7 Solution 4: Registering MN-CSE as MEC application</w:t>
      </w:r>
    </w:p>
    <w:p>
      <w:pPr>
        <w:pStyle w:val="CodeChangeLine"/>
        <w:tabs>
          <w:tab w:pos="567" w:val="left"/>
          <w:tab w:pos="1134" w:val="left"/>
          <w:tab w:pos="1247" w:val="left"/>
        </w:tabs>
      </w:pPr>
      <w:r>
        <w:rPr>
          <w:color w:val="BFBFBF"/>
          <w:shd w:val="clear" w:color="auto" w:fill="fafafa"/>
        </w:rPr>
        <w:t>471</w:t>
        <w:tab/>
        <w:t>423</w:t>
        <w:tab/>
        <w:tab/>
      </w:r>
      <w:r>
        <w:t>### 7.1.8 Solution 5: Integrating oneM2M as a MEC service</w:t>
      </w:r>
    </w:p>
    <w:p>
      <w:pPr>
        <w:pStyle w:val="CodeChangeLine"/>
        <w:tabs>
          <w:tab w:pos="567" w:val="left"/>
          <w:tab w:pos="1134" w:val="left"/>
          <w:tab w:pos="1247" w:val="left"/>
        </w:tabs>
      </w:pPr>
      <w:r>
        <w:rPr>
          <w:color w:val="BFBFBF"/>
          <w:shd w:val="clear" w:color="auto" w:fill="fafafa"/>
        </w:rPr>
        <w:t>472</w:t>
        <w:tab/>
        <w:t>424</w:t>
        <w:tab/>
        <w:tab/>
      </w:r>
      <w:r/>
    </w:p>
    <w:p>
      <w:pPr>
        <w:pStyle w:val="CodeChangeLine"/>
        <w:tabs>
          <w:tab w:pos="567" w:val="left"/>
          <w:tab w:pos="1134" w:val="left"/>
          <w:tab w:pos="1247" w:val="left"/>
        </w:tabs>
        <w:shd w:val="clear" w:color="auto" w:fill="fbe9eb"/>
      </w:pPr>
      <w:r>
        <w:rPr>
          <w:color w:val="BFBFBF"/>
          <w:shd w:val="clear" w:color="auto" w:fill="#f9d7dc"/>
        </w:rPr>
        <w:t>473</w:t>
        <w:tab/>
        <w:tab/>
        <w:t>-</w:t>
        <w:tab/>
      </w:r>
      <w:r>
        <w:t>## 7.2 Transfer registration from oneM2M host on a first MEC platform to another second MEC Platform</w:t>
      </w:r>
    </w:p>
    <w:p>
      <w:pPr>
        <w:pStyle w:val="CodeChangeLine"/>
        <w:tabs>
          <w:tab w:pos="567" w:val="left"/>
          <w:tab w:pos="1134" w:val="left"/>
          <w:tab w:pos="1247" w:val="left"/>
        </w:tabs>
        <w:shd w:val="clear" w:color="auto" w:fill="fbe9eb"/>
      </w:pPr>
      <w:r>
        <w:rPr>
          <w:color w:val="BFBFBF"/>
          <w:shd w:val="clear" w:color="auto" w:fill="#f9d7dc"/>
        </w:rPr>
        <w:t>474</w:t>
        <w:tab/>
        <w:tab/>
        <w:t>-</w:t>
        <w:tab/>
      </w:r>
      <w:r>
        <w:t>### 7.2.1 Description</w:t>
      </w:r>
    </w:p>
    <w:p>
      <w:pPr>
        <w:pStyle w:val="CodeChangeLine"/>
        <w:tabs>
          <w:tab w:pos="567" w:val="left"/>
          <w:tab w:pos="1134" w:val="left"/>
          <w:tab w:pos="1247" w:val="left"/>
        </w:tabs>
        <w:shd w:val="clear" w:color="auto" w:fill="fbe9eb"/>
      </w:pPr>
      <w:r>
        <w:rPr>
          <w:color w:val="BFBFBF"/>
          <w:shd w:val="clear" w:color="auto" w:fill="#f9d7dc"/>
        </w:rPr>
        <w:t>475</w:t>
        <w:tab/>
        <w:tab/>
        <w:t>-</w:t>
        <w:tab/>
      </w:r>
      <w:r>
        <w:t>&lt;mark&gt; show a couple images from use cases showing some sort of neighbour search and handover process&lt;/mark&gt;</w:t>
      </w:r>
    </w:p>
    <w:p>
      <w:pPr>
        <w:pStyle w:val="CodeChangeLine"/>
        <w:tabs>
          <w:tab w:pos="567" w:val="left"/>
          <w:tab w:pos="1134" w:val="left"/>
          <w:tab w:pos="1247" w:val="left"/>
        </w:tabs>
        <w:shd w:val="clear" w:color="auto" w:fill="ecfdf0"/>
      </w:pPr>
      <w:r>
        <w:rPr>
          <w:color w:val="BFBFBF"/>
          <w:shd w:val="clear" w:color="auto" w:fill="#ddfbe6"/>
        </w:rPr>
        <w:tab/>
        <w:t>425</w:t>
        <w:tab/>
        <w:t>+</w:t>
        <w:tab/>
      </w:r>
      <w:r>
        <w:t>## 7.2 Handover of IoT devices to oneM2M/MEC platforms</w:t>
      </w:r>
    </w:p>
    <w:p>
      <w:pPr>
        <w:pStyle w:val="CodeChangeLine"/>
        <w:tabs>
          <w:tab w:pos="567" w:val="left"/>
          <w:tab w:pos="1134" w:val="left"/>
          <w:tab w:pos="1247" w:val="left"/>
        </w:tabs>
        <w:shd w:val="clear" w:color="auto" w:fill="ecfdf0"/>
      </w:pPr>
      <w:r>
        <w:rPr>
          <w:color w:val="BFBFBF"/>
          <w:shd w:val="clear" w:color="auto" w:fill="#ddfbe6"/>
        </w:rPr>
        <w:tab/>
        <w:t>426</w:t>
        <w:tab/>
        <w:t>+</w:t>
        <w:tab/>
      </w:r>
      <w:r>
        <w:t>### 7.2.1 Introduction</w:t>
      </w:r>
    </w:p>
    <w:p>
      <w:pPr>
        <w:pStyle w:val="CodeChangeLine"/>
        <w:tabs>
          <w:tab w:pos="567" w:val="left"/>
          <w:tab w:pos="1134" w:val="left"/>
          <w:tab w:pos="1247" w:val="left"/>
        </w:tabs>
        <w:shd w:val="clear" w:color="auto" w:fill="ecfdf0"/>
      </w:pPr>
      <w:r>
        <w:rPr>
          <w:color w:val="BFBFBF"/>
          <w:shd w:val="clear" w:color="auto" w:fill="#ddfbe6"/>
        </w:rPr>
        <w:tab/>
        <w:t>427</w:t>
        <w:tab/>
        <w:t>+</w:t>
        <w:tab/>
      </w:r>
      <w:r>
        <w:t>This clause describes handover mechanisms for IoT devices operating across oneM2M CSEs hosted on ETSI MEC platforms, with a focus on service-layer continuity during mobility, topology changes, or platform re-selection events.</w:t>
      </w:r>
    </w:p>
    <w:p>
      <w:pPr>
        <w:pStyle w:val="CodeChangeLine"/>
        <w:tabs>
          <w:tab w:pos="567" w:val="left"/>
          <w:tab w:pos="1134" w:val="left"/>
          <w:tab w:pos="1247" w:val="left"/>
        </w:tabs>
        <w:shd w:val="clear" w:color="auto" w:fill="ecfdf0"/>
      </w:pPr>
      <w:r>
        <w:rPr>
          <w:color w:val="BFBFBF"/>
          <w:shd w:val="clear" w:color="auto" w:fill="#ddfbe6"/>
        </w:rPr>
        <w:tab/>
        <w:t>428</w:t>
        <w:tab/>
        <w:t>+</w:t>
        <w:tab/>
      </w:r>
      <w:r/>
    </w:p>
    <w:p>
      <w:pPr>
        <w:pStyle w:val="CodeChangeLine"/>
        <w:tabs>
          <w:tab w:pos="567" w:val="left"/>
          <w:tab w:pos="1134" w:val="left"/>
          <w:tab w:pos="1247" w:val="left"/>
        </w:tabs>
        <w:shd w:val="clear" w:color="auto" w:fill="ecfdf0"/>
      </w:pPr>
      <w:r>
        <w:rPr>
          <w:color w:val="BFBFBF"/>
          <w:shd w:val="clear" w:color="auto" w:fill="#ddfbe6"/>
        </w:rPr>
        <w:tab/>
        <w:t>429</w:t>
        <w:tab/>
        <w:t>+</w:t>
        <w:tab/>
      </w:r>
      <w:r>
        <w:t>In the target operational model, an IoT device is initially registered with a source MN-CSE hosted on a MEC platform. Upon a mobility or orchestration-triggered event, the device’s service context is transitioned to a target MN-CSE hosted on a different MEC platform. This transition includes the migration or re-establishment of relevant oneM2M resources—such as AE registrations, subscriptions, and associated data—so that application services remain uninterrupted.</w:t>
      </w:r>
    </w:p>
    <w:p>
      <w:pPr>
        <w:pStyle w:val="CodeChangeLine"/>
        <w:tabs>
          <w:tab w:pos="567" w:val="left"/>
          <w:tab w:pos="1134" w:val="left"/>
          <w:tab w:pos="1247" w:val="left"/>
        </w:tabs>
        <w:shd w:val="clear" w:color="auto" w:fill="ecfdf0"/>
      </w:pPr>
      <w:r>
        <w:rPr>
          <w:color w:val="BFBFBF"/>
          <w:shd w:val="clear" w:color="auto" w:fill="#ddfbe6"/>
        </w:rPr>
        <w:tab/>
        <w:t>430</w:t>
        <w:tab/>
        <w:t>+</w:t>
        <w:tab/>
      </w:r>
      <w:r/>
    </w:p>
    <w:p>
      <w:pPr>
        <w:pStyle w:val="CodeChangeLine"/>
        <w:tabs>
          <w:tab w:pos="567" w:val="left"/>
          <w:tab w:pos="1134" w:val="left"/>
          <w:tab w:pos="1247" w:val="left"/>
        </w:tabs>
        <w:shd w:val="clear" w:color="auto" w:fill="ecfdf0"/>
      </w:pPr>
      <w:r>
        <w:rPr>
          <w:color w:val="BFBFBF"/>
          <w:shd w:val="clear" w:color="auto" w:fill="#ddfbe6"/>
        </w:rPr>
        <w:tab/>
        <w:t>431</w:t>
        <w:tab/>
        <w:t>+</w:t>
        <w:tab/>
      </w:r>
      <w:r>
        <w:t>![Fig 7.2.1-1](media/handover_7_2_1.png)</w:t>
      </w:r>
    </w:p>
    <w:p>
      <w:pPr>
        <w:pStyle w:val="CodeChangeLine"/>
        <w:tabs>
          <w:tab w:pos="567" w:val="left"/>
          <w:tab w:pos="1134" w:val="left"/>
          <w:tab w:pos="1247" w:val="left"/>
        </w:tabs>
        <w:shd w:val="clear" w:color="auto" w:fill="ecfdf0"/>
      </w:pPr>
      <w:r>
        <w:rPr>
          <w:color w:val="BFBFBF"/>
          <w:shd w:val="clear" w:color="auto" w:fill="#ddfbe6"/>
        </w:rPr>
        <w:tab/>
        <w:t>432</w:t>
        <w:tab/>
        <w:t>+</w:t>
        <w:tab/>
      </w:r>
      <w:r/>
    </w:p>
    <w:p>
      <w:pPr>
        <w:pStyle w:val="CodeChangeLine"/>
        <w:tabs>
          <w:tab w:pos="567" w:val="left"/>
          <w:tab w:pos="1134" w:val="left"/>
          <w:tab w:pos="1247" w:val="left"/>
        </w:tabs>
        <w:shd w:val="clear" w:color="auto" w:fill="ecfdf0"/>
      </w:pPr>
      <w:r>
        <w:rPr>
          <w:color w:val="BFBFBF"/>
          <w:shd w:val="clear" w:color="auto" w:fill="#ddfbe6"/>
        </w:rPr>
        <w:tab/>
        <w:t>433</w:t>
        <w:tab/>
        <w:t>+</w:t>
        <w:tab/>
      </w:r>
      <w:r>
        <w:t>**Fig 7.2.1-1 oneM2M-MEC Service-Layer Handover with IN-CSE Coordination**</w:t>
      </w:r>
    </w:p>
    <w:p>
      <w:pPr>
        <w:pStyle w:val="CodeChangeLine"/>
        <w:tabs>
          <w:tab w:pos="567" w:val="left"/>
          <w:tab w:pos="1134" w:val="left"/>
          <w:tab w:pos="1247" w:val="left"/>
        </w:tabs>
        <w:shd w:val="clear" w:color="auto" w:fill="ecfdf0"/>
      </w:pPr>
      <w:r>
        <w:rPr>
          <w:color w:val="BFBFBF"/>
          <w:shd w:val="clear" w:color="auto" w:fill="#ddfbe6"/>
        </w:rPr>
        <w:tab/>
        <w:t>434</w:t>
        <w:tab/>
        <w:t>+</w:t>
        <w:tab/>
      </w:r>
      <w:r/>
    </w:p>
    <w:p>
      <w:pPr>
        <w:pStyle w:val="CodeChangeLine"/>
        <w:tabs>
          <w:tab w:pos="567" w:val="left"/>
          <w:tab w:pos="1134" w:val="left"/>
          <w:tab w:pos="1247" w:val="left"/>
        </w:tabs>
        <w:shd w:val="clear" w:color="auto" w:fill="ecfdf0"/>
      </w:pPr>
      <w:r>
        <w:rPr>
          <w:color w:val="BFBFBF"/>
          <w:shd w:val="clear" w:color="auto" w:fill="#ddfbe6"/>
        </w:rPr>
        <w:tab/>
        <w:t>435</w:t>
        <w:tab/>
        <w:t>+</w:t>
        <w:tab/>
      </w:r>
      <w:r>
        <w:t>Within oneM2M–MEC integrated environments, handover extends beyond radio or access mobility to encompass dynamic relocation of service-layer entities and contexts, including AEs and MN-CSE registrations, across MEC platforms, access networks, and cloud domains. This enables adaptive resource placement and consistent service behavior across heterogeneous access technologies (e.g., cellular, Wi-Fi, BLE, DECT-NR+).</w:t>
      </w:r>
    </w:p>
    <w:p>
      <w:pPr>
        <w:pStyle w:val="CodeChangeLine"/>
        <w:tabs>
          <w:tab w:pos="567" w:val="left"/>
          <w:tab w:pos="1134" w:val="left"/>
          <w:tab w:pos="1247" w:val="left"/>
        </w:tabs>
        <w:shd w:val="clear" w:color="auto" w:fill="ecfdf0"/>
      </w:pPr>
      <w:r>
        <w:rPr>
          <w:color w:val="BFBFBF"/>
          <w:shd w:val="clear" w:color="auto" w:fill="#ddfbe6"/>
        </w:rPr>
        <w:tab/>
        <w:t>436</w:t>
        <w:tab/>
        <w:t>+</w:t>
        <w:tab/>
      </w:r>
      <w:r/>
    </w:p>
    <w:p>
      <w:pPr>
        <w:pStyle w:val="CodeChangeLine"/>
        <w:tabs>
          <w:tab w:pos="567" w:val="left"/>
          <w:tab w:pos="1134" w:val="left"/>
          <w:tab w:pos="1247" w:val="left"/>
        </w:tabs>
        <w:shd w:val="clear" w:color="auto" w:fill="ecfdf0"/>
      </w:pPr>
      <w:r>
        <w:rPr>
          <w:color w:val="BFBFBF"/>
          <w:shd w:val="clear" w:color="auto" w:fill="#ddfbe6"/>
        </w:rPr>
        <w:tab/>
        <w:t>437</w:t>
        <w:tab/>
        <w:t>+</w:t>
        <w:tab/>
      </w:r>
      <w:r>
        <w:t>The primary objectives of handover in such environments include:</w:t>
      </w:r>
    </w:p>
    <w:p>
      <w:pPr>
        <w:pStyle w:val="CodeChangeLine"/>
        <w:tabs>
          <w:tab w:pos="567" w:val="left"/>
          <w:tab w:pos="1134" w:val="left"/>
          <w:tab w:pos="1247" w:val="left"/>
        </w:tabs>
        <w:shd w:val="clear" w:color="auto" w:fill="ecfdf0"/>
      </w:pPr>
      <w:r>
        <w:rPr>
          <w:color w:val="BFBFBF"/>
          <w:shd w:val="clear" w:color="auto" w:fill="#ddfbe6"/>
        </w:rPr>
        <w:tab/>
        <w:t>438</w:t>
        <w:tab/>
        <w:t>+</w:t>
        <w:tab/>
      </w:r>
      <w:r/>
    </w:p>
    <w:p>
      <w:pPr>
        <w:pStyle w:val="CodeChangeLine"/>
        <w:tabs>
          <w:tab w:pos="567" w:val="left"/>
          <w:tab w:pos="1134" w:val="left"/>
          <w:tab w:pos="1247" w:val="left"/>
        </w:tabs>
        <w:shd w:val="clear" w:color="auto" w:fill="ecfdf0"/>
      </w:pPr>
      <w:r>
        <w:rPr>
          <w:color w:val="BFBFBF"/>
          <w:shd w:val="clear" w:color="auto" w:fill="#ddfbe6"/>
        </w:rPr>
        <w:tab/>
        <w:t>439</w:t>
        <w:tab/>
        <w:t>+</w:t>
        <w:tab/>
      </w:r>
      <w:r>
        <w:t>- **Service Continuity:** Preserving active service interactions and data flows during mobility or platform transitions.</w:t>
      </w:r>
    </w:p>
    <w:p>
      <w:pPr>
        <w:pStyle w:val="CodeChangeLine"/>
        <w:tabs>
          <w:tab w:pos="567" w:val="left"/>
          <w:tab w:pos="1134" w:val="left"/>
          <w:tab w:pos="1247" w:val="left"/>
        </w:tabs>
        <w:shd w:val="clear" w:color="auto" w:fill="ecfdf0"/>
      </w:pPr>
      <w:r>
        <w:rPr>
          <w:color w:val="BFBFBF"/>
          <w:shd w:val="clear" w:color="auto" w:fill="#ddfbe6"/>
        </w:rPr>
        <w:tab/>
        <w:t>440</w:t>
        <w:tab/>
        <w:t>+</w:t>
        <w:tab/>
      </w:r>
      <w:r>
        <w:t>- **Context Preservation:** Maintaining oneM2M resource state (e.g., registrations, containers, subscriptions) across MN-CSE boundaries.</w:t>
      </w:r>
    </w:p>
    <w:p>
      <w:pPr>
        <w:pStyle w:val="CodeChangeLine"/>
        <w:tabs>
          <w:tab w:pos="567" w:val="left"/>
          <w:tab w:pos="1134" w:val="left"/>
          <w:tab w:pos="1247" w:val="left"/>
        </w:tabs>
        <w:shd w:val="clear" w:color="auto" w:fill="ecfdf0"/>
      </w:pPr>
      <w:r>
        <w:rPr>
          <w:color w:val="BFBFBF"/>
          <w:shd w:val="clear" w:color="auto" w:fill="#ddfbe6"/>
        </w:rPr>
        <w:tab/>
        <w:t>441</w:t>
        <w:tab/>
        <w:t>+</w:t>
        <w:tab/>
      </w:r>
      <w:r>
        <w:t>- **Performance Optimization:** Selecting target MEC nodes or MN-CSEs to minimize latency and optimize application performance.</w:t>
      </w:r>
    </w:p>
    <w:p>
      <w:pPr>
        <w:pStyle w:val="CodeChangeLine"/>
        <w:tabs>
          <w:tab w:pos="567" w:val="left"/>
          <w:tab w:pos="1134" w:val="left"/>
          <w:tab w:pos="1247" w:val="left"/>
        </w:tabs>
        <w:shd w:val="clear" w:color="auto" w:fill="ecfdf0"/>
      </w:pPr>
      <w:r>
        <w:rPr>
          <w:color w:val="BFBFBF"/>
          <w:shd w:val="clear" w:color="auto" w:fill="#ddfbe6"/>
        </w:rPr>
        <w:tab/>
        <w:t>442</w:t>
        <w:tab/>
        <w:t>+</w:t>
        <w:tab/>
      </w:r>
      <w:r>
        <w:t>- **Load and Resource Optimization:** Dynamically redistributing devices or AEs across CSEs or MEC hosts.</w:t>
      </w:r>
    </w:p>
    <w:p>
      <w:pPr>
        <w:pStyle w:val="CodeChangeLine"/>
        <w:tabs>
          <w:tab w:pos="567" w:val="left"/>
          <w:tab w:pos="1134" w:val="left"/>
          <w:tab w:pos="1247" w:val="left"/>
        </w:tabs>
        <w:shd w:val="clear" w:color="auto" w:fill="ecfdf0"/>
      </w:pPr>
      <w:r>
        <w:rPr>
          <w:color w:val="BFBFBF"/>
          <w:shd w:val="clear" w:color="auto" w:fill="#ddfbe6"/>
        </w:rPr>
        <w:tab/>
        <w:t>443</w:t>
        <w:tab/>
        <w:t>+</w:t>
        <w:tab/>
      </w:r>
      <w:r>
        <w:t>- **Policy and Energy Awareness:** Supporting QoS, energy, and policy constraints via CMDH and orchestration frameworks.</w:t>
      </w:r>
    </w:p>
    <w:p>
      <w:pPr>
        <w:pStyle w:val="CodeChangeLine"/>
        <w:tabs>
          <w:tab w:pos="567" w:val="left"/>
          <w:tab w:pos="1134" w:val="left"/>
          <w:tab w:pos="1247" w:val="left"/>
        </w:tabs>
        <w:shd w:val="clear" w:color="auto" w:fill="ecfdf0"/>
      </w:pPr>
      <w:r>
        <w:rPr>
          <w:color w:val="BFBFBF"/>
          <w:shd w:val="clear" w:color="auto" w:fill="#ddfbe6"/>
        </w:rPr>
        <w:tab/>
        <w:t>444</w:t>
        <w:tab/>
        <w:t>+</w:t>
        <w:tab/>
      </w:r>
      <w:r>
        <w:t>- **Autonomous and Assisted Operation:** Enabling both device-initiated and network-assisted handover workflows.</w:t>
      </w:r>
    </w:p>
    <w:p>
      <w:pPr>
        <w:pStyle w:val="CodeChangeLine"/>
        <w:tabs>
          <w:tab w:pos="567" w:val="left"/>
          <w:tab w:pos="1134" w:val="left"/>
          <w:tab w:pos="1247" w:val="left"/>
        </w:tabs>
        <w:shd w:val="clear" w:color="auto" w:fill="ecfdf0"/>
      </w:pPr>
      <w:r>
        <w:rPr>
          <w:color w:val="BFBFBF"/>
          <w:shd w:val="clear" w:color="auto" w:fill="#ddfbe6"/>
        </w:rPr>
        <w:tab/>
        <w:t>445</w:t>
        <w:tab/>
        <w:t>+</w:t>
        <w:tab/>
      </w:r>
      <w:r/>
    </w:p>
    <w:p>
      <w:pPr>
        <w:pStyle w:val="CodeChangeLine"/>
        <w:tabs>
          <w:tab w:pos="567" w:val="left"/>
          <w:tab w:pos="1134" w:val="left"/>
          <w:tab w:pos="1247" w:val="left"/>
        </w:tabs>
        <w:shd w:val="clear" w:color="auto" w:fill="ecfdf0"/>
      </w:pPr>
      <w:r>
        <w:rPr>
          <w:color w:val="BFBFBF"/>
          <w:shd w:val="clear" w:color="auto" w:fill="#ddfbe6"/>
        </w:rPr>
        <w:tab/>
        <w:t>446</w:t>
        <w:tab/>
        <w:t>+</w:t>
        <w:tab/>
      </w:r>
      <w:r>
        <w:t>The following definitions are used in this clause:</w:t>
      </w:r>
    </w:p>
    <w:p>
      <w:pPr>
        <w:pStyle w:val="CodeChangeLine"/>
        <w:tabs>
          <w:tab w:pos="567" w:val="left"/>
          <w:tab w:pos="1134" w:val="left"/>
          <w:tab w:pos="1247" w:val="left"/>
        </w:tabs>
        <w:shd w:val="clear" w:color="auto" w:fill="ecfdf0"/>
      </w:pPr>
      <w:r>
        <w:rPr>
          <w:color w:val="BFBFBF"/>
          <w:shd w:val="clear" w:color="auto" w:fill="#ddfbe6"/>
        </w:rPr>
        <w:tab/>
        <w:t>447</w:t>
        <w:tab/>
        <w:t>+</w:t>
        <w:tab/>
      </w:r>
      <w:r>
        <w:t>- **Registration Handover:** The process of transferring an AE’s registration from a source MN-CSE to a target MN-CSE, including the migration or re-establishment of associated resources (containers, subscriptions, etc.) to maintain service continuity.</w:t>
      </w:r>
    </w:p>
    <w:p>
      <w:pPr>
        <w:pStyle w:val="CodeChangeLine"/>
        <w:tabs>
          <w:tab w:pos="567" w:val="left"/>
          <w:tab w:pos="1134" w:val="left"/>
          <w:tab w:pos="1247" w:val="left"/>
        </w:tabs>
        <w:shd w:val="clear" w:color="auto" w:fill="ecfdf0"/>
      </w:pPr>
      <w:r>
        <w:rPr>
          <w:color w:val="BFBFBF"/>
          <w:shd w:val="clear" w:color="auto" w:fill="#ddfbe6"/>
        </w:rPr>
        <w:tab/>
        <w:t>448</w:t>
        <w:tab/>
        <w:t>+</w:t>
        <w:tab/>
      </w:r>
      <w:r>
        <w:t>- **Context Transfer:** The migration of application state, session information, and resource data associated with an AE during handover to ensure seamless service operation post-transition; e.g. continuity of subscriptions/queued downlink/state across the change.</w:t>
      </w:r>
    </w:p>
    <w:p>
      <w:pPr>
        <w:pStyle w:val="CodeChangeLine"/>
        <w:tabs>
          <w:tab w:pos="567" w:val="left"/>
          <w:tab w:pos="1134" w:val="left"/>
          <w:tab w:pos="1247" w:val="left"/>
        </w:tabs>
        <w:shd w:val="clear" w:color="auto" w:fill="ecfdf0"/>
      </w:pPr>
      <w:r>
        <w:rPr>
          <w:color w:val="BFBFBF"/>
          <w:shd w:val="clear" w:color="auto" w:fill="#ddfbe6"/>
        </w:rPr>
        <w:tab/>
        <w:t>449</w:t>
        <w:tab/>
        <w:t>+</w:t>
        <w:tab/>
      </w:r>
      <w:r>
        <w:t>- **Endpoint Steering:** The redirection of application traffic flows to the new MN-CSE or MEC host post-handover, ensuring that data paths are updated to reflect the device’s new point of attachment.</w:t>
      </w:r>
    </w:p>
    <w:p>
      <w:pPr>
        <w:pStyle w:val="CodeChangeLine"/>
        <w:tabs>
          <w:tab w:pos="567" w:val="left"/>
          <w:tab w:pos="1134" w:val="left"/>
          <w:tab w:pos="1247" w:val="left"/>
        </w:tabs>
        <w:shd w:val="clear" w:color="auto" w:fill="ecfdf0"/>
      </w:pPr>
      <w:r>
        <w:rPr>
          <w:color w:val="BFBFBF"/>
          <w:shd w:val="clear" w:color="auto" w:fill="#ddfbe6"/>
        </w:rPr>
        <w:tab/>
        <w:t>450</w:t>
        <w:tab/>
        <w:t>+</w:t>
        <w:tab/>
      </w:r>
      <w:r>
        <w:t>- **Application Relocation:** The process of moving an application instance and its associated user context from one MEC host to another to maintain service continuity during UE mobility.</w:t>
      </w:r>
    </w:p>
    <w:p>
      <w:pPr>
        <w:pStyle w:val="CodeChangeLine"/>
        <w:tabs>
          <w:tab w:pos="567" w:val="left"/>
          <w:tab w:pos="1134" w:val="left"/>
          <w:tab w:pos="1247" w:val="left"/>
        </w:tabs>
        <w:shd w:val="clear" w:color="auto" w:fill="ecfdf0"/>
      </w:pPr>
      <w:r>
        <w:rPr>
          <w:color w:val="BFBFBF"/>
          <w:shd w:val="clear" w:color="auto" w:fill="#ddfbe6"/>
        </w:rPr>
        <w:tab/>
        <w:t>451</w:t>
        <w:tab/>
        <w:t>+</w:t>
        <w:tab/>
      </w:r>
      <w:r/>
    </w:p>
    <w:p>
      <w:pPr>
        <w:pStyle w:val="CodeChangeLine"/>
        <w:tabs>
          <w:tab w:pos="567" w:val="left"/>
          <w:tab w:pos="1134" w:val="left"/>
          <w:tab w:pos="1247" w:val="left"/>
        </w:tabs>
        <w:shd w:val="clear" w:color="auto" w:fill="ecfdf0"/>
      </w:pPr>
      <w:r>
        <w:rPr>
          <w:color w:val="BFBFBF"/>
          <w:shd w:val="clear" w:color="auto" w:fill="#ddfbe6"/>
        </w:rPr>
        <w:tab/>
        <w:t>452</w:t>
        <w:tab/>
        <w:t>+</w:t>
        <w:tab/>
      </w:r>
      <w:r>
        <w:t>_“This clause focuses on Registration/Context Handover for oneM2M AEs; MEC 021 relocation is optional and orthogonal.”_</w:t>
      </w:r>
    </w:p>
    <w:p>
      <w:pPr>
        <w:pStyle w:val="CodeChangeLine"/>
        <w:tabs>
          <w:tab w:pos="567" w:val="left"/>
          <w:tab w:pos="1134" w:val="left"/>
          <w:tab w:pos="1247" w:val="left"/>
        </w:tabs>
        <w:shd w:val="clear" w:color="auto" w:fill="ecfdf0"/>
      </w:pPr>
      <w:r>
        <w:rPr>
          <w:color w:val="BFBFBF"/>
          <w:shd w:val="clear" w:color="auto" w:fill="#ddfbe6"/>
        </w:rPr>
        <w:tab/>
        <w:t>453</w:t>
        <w:tab/>
        <w:t>+</w:t>
        <w:tab/>
      </w:r>
      <w:r/>
    </w:p>
    <w:p>
      <w:pPr>
        <w:pStyle w:val="CodeChangeLine"/>
        <w:tabs>
          <w:tab w:pos="567" w:val="left"/>
          <w:tab w:pos="1134" w:val="left"/>
          <w:tab w:pos="1247" w:val="left"/>
        </w:tabs>
        <w:shd w:val="clear" w:color="auto" w:fill="ecfdf0"/>
      </w:pPr>
      <w:r>
        <w:rPr>
          <w:color w:val="BFBFBF"/>
          <w:shd w:val="clear" w:color="auto" w:fill="#ddfbe6"/>
        </w:rPr>
        <w:tab/>
        <w:t>454</w:t>
        <w:tab/>
        <w:t>+</w:t>
        <w:tab/>
      </w:r>
      <w:r>
        <w:t>By combining MEC service exposure APIs (e.g., location, radio network information, orchestration) with oneM2M service-layer capabilities (e.g., AE, remoteCSE, CMDH), multiple complementary handover strategies can be supported. These range from fully network-assisted approaches to device-driven mechanisms, as summarized in the following clauses.</w:t>
      </w:r>
    </w:p>
    <w:p>
      <w:pPr>
        <w:pStyle w:val="CodeChangeLine"/>
        <w:tabs>
          <w:tab w:pos="567" w:val="left"/>
          <w:tab w:pos="1134" w:val="left"/>
          <w:tab w:pos="1247" w:val="left"/>
        </w:tabs>
        <w:shd w:val="clear" w:color="auto" w:fill="ecfdf0"/>
      </w:pPr>
      <w:r>
        <w:rPr>
          <w:color w:val="BFBFBF"/>
          <w:shd w:val="clear" w:color="auto" w:fill="#ddfbe6"/>
        </w:rPr>
        <w:tab/>
        <w:t>455</w:t>
        <w:tab/>
        <w:t>+</w:t>
        <w:tab/>
      </w:r>
      <w:r/>
    </w:p>
    <w:p>
      <w:pPr>
        <w:pStyle w:val="CodeChangeLine"/>
        <w:tabs>
          <w:tab w:pos="567" w:val="left"/>
          <w:tab w:pos="1134" w:val="left"/>
          <w:tab w:pos="1247" w:val="left"/>
        </w:tabs>
        <w:shd w:val="clear" w:color="auto" w:fill="ecfdf0"/>
      </w:pPr>
      <w:r>
        <w:rPr>
          <w:color w:val="BFBFBF"/>
          <w:shd w:val="clear" w:color="auto" w:fill="#ddfbe6"/>
        </w:rPr>
        <w:tab/>
        <w:t>456</w:t>
        <w:tab/>
        <w:t>+</w:t>
        <w:tab/>
      </w:r>
      <w:r>
        <w:t>### 7.2.1.1 Core Network Initiated Application Relocation (MEC-assisted)</w:t>
      </w:r>
    </w:p>
    <w:p>
      <w:pPr>
        <w:pStyle w:val="CodeChangeLine"/>
        <w:tabs>
          <w:tab w:pos="567" w:val="left"/>
          <w:tab w:pos="1134" w:val="left"/>
          <w:tab w:pos="1247" w:val="left"/>
        </w:tabs>
        <w:shd w:val="clear" w:color="auto" w:fill="ecfdf0"/>
      </w:pPr>
      <w:r>
        <w:rPr>
          <w:color w:val="BFBFBF"/>
          <w:shd w:val="clear" w:color="auto" w:fill="#ddfbe6"/>
        </w:rPr>
        <w:tab/>
        <w:t>457</w:t>
        <w:tab/>
        <w:t>+</w:t>
        <w:tab/>
      </w:r>
      <w:r/>
    </w:p>
    <w:p>
      <w:pPr>
        <w:pStyle w:val="CodeChangeLine"/>
        <w:tabs>
          <w:tab w:pos="567" w:val="left"/>
          <w:tab w:pos="1134" w:val="left"/>
          <w:tab w:pos="1247" w:val="left"/>
        </w:tabs>
        <w:shd w:val="clear" w:color="auto" w:fill="ecfdf0"/>
      </w:pPr>
      <w:r>
        <w:rPr>
          <w:color w:val="BFBFBF"/>
          <w:shd w:val="clear" w:color="auto" w:fill="#ddfbe6"/>
        </w:rPr>
        <w:tab/>
        <w:t>458</w:t>
        <w:tab/>
        <w:t>+</w:t>
        <w:tab/>
      </w:r>
      <w:r>
        <w:t>ETSI GS MEC 021 specifies the Application Mobility Service (AMS), which supports relocation of MEC application instances and associated user context across MEC hosts to preserve service continuity during UE mobility.</w:t>
      </w:r>
    </w:p>
    <w:p>
      <w:pPr>
        <w:pStyle w:val="CodeChangeLine"/>
        <w:tabs>
          <w:tab w:pos="567" w:val="left"/>
          <w:tab w:pos="1134" w:val="left"/>
          <w:tab w:pos="1247" w:val="left"/>
        </w:tabs>
        <w:shd w:val="clear" w:color="auto" w:fill="ecfdf0"/>
      </w:pPr>
      <w:r>
        <w:rPr>
          <w:color w:val="BFBFBF"/>
          <w:shd w:val="clear" w:color="auto" w:fill="#ddfbe6"/>
        </w:rPr>
        <w:tab/>
        <w:t>459</w:t>
        <w:tab/>
        <w:t>+</w:t>
        <w:tab/>
      </w:r>
      <w:r/>
    </w:p>
    <w:p>
      <w:pPr>
        <w:pStyle w:val="CodeChangeLine"/>
        <w:tabs>
          <w:tab w:pos="567" w:val="left"/>
          <w:tab w:pos="1134" w:val="left"/>
          <w:tab w:pos="1247" w:val="left"/>
        </w:tabs>
        <w:shd w:val="clear" w:color="auto" w:fill="ecfdf0"/>
      </w:pPr>
      <w:r>
        <w:rPr>
          <w:color w:val="BFBFBF"/>
          <w:shd w:val="clear" w:color="auto" w:fill="#ddfbe6"/>
        </w:rPr>
        <w:tab/>
        <w:t>460</w:t>
        <w:tab/>
        <w:t>+</w:t>
        <w:tab/>
      </w:r>
      <w:r>
        <w:t>In the MEC-assisted mode (focus of this clause), the MEC system is responsible for detecting mobility conditions and initiating relocation. The decision is typically driven by event notifications and telemetry correlated to UE identifiers, including:</w:t>
      </w:r>
    </w:p>
    <w:p>
      <w:pPr>
        <w:pStyle w:val="CodeChangeLine"/>
        <w:tabs>
          <w:tab w:pos="567" w:val="left"/>
          <w:tab w:pos="1134" w:val="left"/>
          <w:tab w:pos="1247" w:val="left"/>
        </w:tabs>
        <w:shd w:val="clear" w:color="auto" w:fill="ecfdf0"/>
      </w:pPr>
      <w:r>
        <w:rPr>
          <w:color w:val="BFBFBF"/>
          <w:shd w:val="clear" w:color="auto" w:fill="#ddfbe6"/>
        </w:rPr>
        <w:tab/>
        <w:t>461</w:t>
        <w:tab/>
        <w:t>+</w:t>
        <w:tab/>
      </w:r>
      <w:r/>
    </w:p>
    <w:p>
      <w:pPr>
        <w:pStyle w:val="CodeChangeLine"/>
        <w:tabs>
          <w:tab w:pos="567" w:val="left"/>
          <w:tab w:pos="1134" w:val="left"/>
          <w:tab w:pos="1247" w:val="left"/>
        </w:tabs>
        <w:shd w:val="clear" w:color="auto" w:fill="ecfdf0"/>
      </w:pPr>
      <w:r>
        <w:rPr>
          <w:color w:val="BFBFBF"/>
          <w:shd w:val="clear" w:color="auto" w:fill="#ddfbe6"/>
        </w:rPr>
        <w:tab/>
        <w:t>462</w:t>
        <w:tab/>
        <w:t>+</w:t>
        <w:tab/>
      </w:r>
      <w:r>
        <w:t>1. UE mobility / cell change / handover events</w:t>
      </w:r>
    </w:p>
    <w:p>
      <w:pPr>
        <w:pStyle w:val="CodeChangeLine"/>
        <w:tabs>
          <w:tab w:pos="567" w:val="left"/>
          <w:tab w:pos="1134" w:val="left"/>
          <w:tab w:pos="1247" w:val="left"/>
        </w:tabs>
        <w:shd w:val="clear" w:color="auto" w:fill="ecfdf0"/>
      </w:pPr>
      <w:r>
        <w:rPr>
          <w:color w:val="BFBFBF"/>
          <w:shd w:val="clear" w:color="auto" w:fill="#ddfbe6"/>
        </w:rPr>
        <w:tab/>
        <w:t>463</w:t>
        <w:tab/>
        <w:t>+</w:t>
        <w:tab/>
      </w:r>
      <w:r>
        <w:t>2. UE departure from a serving area associated with the current MEC host</w:t>
      </w:r>
    </w:p>
    <w:p>
      <w:pPr>
        <w:pStyle w:val="CodeChangeLine"/>
        <w:tabs>
          <w:tab w:pos="567" w:val="left"/>
          <w:tab w:pos="1134" w:val="left"/>
          <w:tab w:pos="1247" w:val="left"/>
        </w:tabs>
        <w:shd w:val="clear" w:color="auto" w:fill="ecfdf0"/>
      </w:pPr>
      <w:r>
        <w:rPr>
          <w:color w:val="BFBFBF"/>
          <w:shd w:val="clear" w:color="auto" w:fill="#ddfbe6"/>
        </w:rPr>
        <w:tab/>
        <w:t>464</w:t>
        <w:tab/>
        <w:t>+</w:t>
        <w:tab/>
      </w:r>
      <w:r>
        <w:t>3. predicted or observed QoS degradation (e.g., latency/throughput thresholds) relative to application requirements.</w:t>
      </w:r>
    </w:p>
    <w:p>
      <w:pPr>
        <w:pStyle w:val="CodeChangeLine"/>
        <w:tabs>
          <w:tab w:pos="567" w:val="left"/>
          <w:tab w:pos="1134" w:val="left"/>
          <w:tab w:pos="1247" w:val="left"/>
        </w:tabs>
        <w:shd w:val="clear" w:color="auto" w:fill="ecfdf0"/>
      </w:pPr>
      <w:r>
        <w:rPr>
          <w:color w:val="BFBFBF"/>
          <w:shd w:val="clear" w:color="auto" w:fill="#ddfbe6"/>
        </w:rPr>
        <w:tab/>
        <w:t>465</w:t>
        <w:tab/>
        <w:t>+</w:t>
        <w:tab/>
      </w:r>
      <w:r/>
    </w:p>
    <w:p>
      <w:pPr>
        <w:pStyle w:val="CodeChangeLine"/>
        <w:tabs>
          <w:tab w:pos="567" w:val="left"/>
          <w:tab w:pos="1134" w:val="left"/>
          <w:tab w:pos="1247" w:val="left"/>
        </w:tabs>
        <w:shd w:val="clear" w:color="auto" w:fill="ecfdf0"/>
      </w:pPr>
      <w:r>
        <w:rPr>
          <w:color w:val="BFBFBF"/>
          <w:shd w:val="clear" w:color="auto" w:fill="#ddfbe6"/>
        </w:rPr>
        <w:tab/>
        <w:t>466</w:t>
        <w:tab/>
        <w:t>+</w:t>
        <w:tab/>
      </w:r>
      <w:r>
        <w:t>To detect such conditions, AMS commonly integrates with the Radio Network Information Service (RNIS, ETSI GS MEC 012) through queries and/or subscriptions for UE-specific and radio-node events. Optionally, the Location Service (ETSI GS MEC 013) may provide supplementary location data to refine decisions for geo-sensitive applications. Application-specific mobility preferences and constraints may be expressed during registration (e.g., via AppMobilityServiceLevel and/or information derived from the application descriptor), allowing AMS to map detected events to the affected application instance(s).</w:t>
      </w:r>
    </w:p>
    <w:p>
      <w:pPr>
        <w:pStyle w:val="CodeChangeLine"/>
        <w:tabs>
          <w:tab w:pos="567" w:val="left"/>
          <w:tab w:pos="1134" w:val="left"/>
          <w:tab w:pos="1247" w:val="left"/>
        </w:tabs>
        <w:shd w:val="clear" w:color="auto" w:fill="ecfdf0"/>
      </w:pPr>
      <w:r>
        <w:rPr>
          <w:color w:val="BFBFBF"/>
          <w:shd w:val="clear" w:color="auto" w:fill="#ddfbe6"/>
        </w:rPr>
        <w:tab/>
        <w:t>467</w:t>
        <w:tab/>
        <w:t>+</w:t>
        <w:tab/>
      </w:r>
      <w:r/>
    </w:p>
    <w:p>
      <w:pPr>
        <w:pStyle w:val="CodeChangeLine"/>
        <w:tabs>
          <w:tab w:pos="567" w:val="left"/>
          <w:tab w:pos="1134" w:val="left"/>
          <w:tab w:pos="1247" w:val="left"/>
        </w:tabs>
        <w:shd w:val="clear" w:color="auto" w:fill="ecfdf0"/>
      </w:pPr>
      <w:r>
        <w:rPr>
          <w:color w:val="BFBFBF"/>
          <w:shd w:val="clear" w:color="auto" w:fill="#ddfbe6"/>
        </w:rPr>
        <w:tab/>
        <w:t>468</w:t>
        <w:tab/>
        <w:t>+</w:t>
        <w:tab/>
      </w:r>
      <w:r>
        <w:t>When conditions are met, AMS notifies the application instance via subscription-based MobilityProcedureNotification messages (e.g., INTERHOST_MOVEOUT_TRIGGERED and INTERHOST_MOVEOUT_COMPLETED) and provides the target endpoint information needed to proceed. AMS supports structured sub-procedures (enablement, initiation, preparation, execution, traffic path update, completion). While AMS defines the coordination and notification mechanisms, the exact application context/state content and its transfer format remain application-specific.</w:t>
      </w:r>
    </w:p>
    <w:p>
      <w:pPr>
        <w:pStyle w:val="CodeChangeLine"/>
        <w:tabs>
          <w:tab w:pos="567" w:val="left"/>
          <w:tab w:pos="1134" w:val="left"/>
          <w:tab w:pos="1247" w:val="left"/>
        </w:tabs>
        <w:shd w:val="clear" w:color="auto" w:fill="ecfdf0"/>
      </w:pPr>
      <w:r>
        <w:rPr>
          <w:color w:val="BFBFBF"/>
          <w:shd w:val="clear" w:color="auto" w:fill="#ddfbe6"/>
        </w:rPr>
        <w:tab/>
        <w:t>469</w:t>
        <w:tab/>
        <w:t>+</w:t>
        <w:tab/>
      </w:r>
      <w:r/>
    </w:p>
    <w:p>
      <w:pPr>
        <w:pStyle w:val="CodeChangeLine"/>
        <w:tabs>
          <w:tab w:pos="567" w:val="left"/>
          <w:tab w:pos="1134" w:val="left"/>
          <w:tab w:pos="1247" w:val="left"/>
        </w:tabs>
        <w:shd w:val="clear" w:color="auto" w:fill="ecfdf0"/>
      </w:pPr>
      <w:r>
        <w:rPr>
          <w:color w:val="BFBFBF"/>
          <w:shd w:val="clear" w:color="auto" w:fill="#ddfbe6"/>
        </w:rPr>
        <w:tab/>
        <w:t>470</w:t>
        <w:tab/>
        <w:t>+</w:t>
        <w:tab/>
      </w:r>
      <w:r>
        <w:t>![Fig 7.2.1.1-1](media/handover_7_2_1_1.png)</w:t>
      </w:r>
    </w:p>
    <w:p>
      <w:pPr>
        <w:pStyle w:val="CodeChangeLine"/>
        <w:tabs>
          <w:tab w:pos="567" w:val="left"/>
          <w:tab w:pos="1134" w:val="left"/>
          <w:tab w:pos="1247" w:val="left"/>
        </w:tabs>
        <w:shd w:val="clear" w:color="auto" w:fill="ecfdf0"/>
      </w:pPr>
      <w:r>
        <w:rPr>
          <w:color w:val="BFBFBF"/>
          <w:shd w:val="clear" w:color="auto" w:fill="#ddfbe6"/>
        </w:rPr>
        <w:tab/>
        <w:t>471</w:t>
        <w:tab/>
        <w:t>+</w:t>
        <w:tab/>
      </w:r>
      <w:r/>
    </w:p>
    <w:p>
      <w:pPr>
        <w:pStyle w:val="CodeChangeLine"/>
        <w:tabs>
          <w:tab w:pos="567" w:val="left"/>
          <w:tab w:pos="1134" w:val="left"/>
          <w:tab w:pos="1247" w:val="left"/>
        </w:tabs>
        <w:shd w:val="clear" w:color="auto" w:fill="ecfdf0"/>
      </w:pPr>
      <w:r>
        <w:rPr>
          <w:color w:val="BFBFBF"/>
          <w:shd w:val="clear" w:color="auto" w:fill="#ddfbe6"/>
        </w:rPr>
        <w:tab/>
        <w:t>472</w:t>
        <w:tab/>
        <w:t>+</w:t>
        <w:tab/>
      </w:r>
      <w:r>
        <w:t>**Fig 7.2.1.1-1 MEC System-Initiated Application Relocation (MEC-assisted)**</w:t>
      </w:r>
    </w:p>
    <w:p>
      <w:pPr>
        <w:pStyle w:val="CodeChangeLine"/>
        <w:tabs>
          <w:tab w:pos="567" w:val="left"/>
          <w:tab w:pos="1134" w:val="left"/>
          <w:tab w:pos="1247" w:val="left"/>
        </w:tabs>
        <w:shd w:val="clear" w:color="auto" w:fill="ecfdf0"/>
      </w:pPr>
      <w:r>
        <w:rPr>
          <w:color w:val="BFBFBF"/>
          <w:shd w:val="clear" w:color="auto" w:fill="#ddfbe6"/>
        </w:rPr>
        <w:tab/>
        <w:t>473</w:t>
        <w:tab/>
        <w:t>+</w:t>
        <w:tab/>
      </w:r>
      <w:r/>
    </w:p>
    <w:p>
      <w:pPr>
        <w:pStyle w:val="CodeChangeLine"/>
        <w:tabs>
          <w:tab w:pos="567" w:val="left"/>
          <w:tab w:pos="1134" w:val="left"/>
          <w:tab w:pos="1247" w:val="left"/>
        </w:tabs>
        <w:shd w:val="clear" w:color="auto" w:fill="ecfdf0"/>
      </w:pPr>
      <w:r>
        <w:rPr>
          <w:color w:val="BFBFBF"/>
          <w:shd w:val="clear" w:color="auto" w:fill="#ddfbe6"/>
        </w:rPr>
        <w:tab/>
        <w:t>474</w:t>
        <w:tab/>
        <w:t>+</w:t>
        <w:tab/>
      </w:r>
      <w:r>
        <w:t>**Key oneM2M/MEC Components:**</w:t>
      </w:r>
    </w:p>
    <w:p>
      <w:pPr>
        <w:pStyle w:val="CodeChangeLine"/>
        <w:tabs>
          <w:tab w:pos="567" w:val="left"/>
          <w:tab w:pos="1134" w:val="left"/>
          <w:tab w:pos="1247" w:val="left"/>
        </w:tabs>
        <w:shd w:val="clear" w:color="auto" w:fill="ecfdf0"/>
      </w:pPr>
      <w:r>
        <w:rPr>
          <w:color w:val="BFBFBF"/>
          <w:shd w:val="clear" w:color="auto" w:fill="#ddfbe6"/>
        </w:rPr>
        <w:tab/>
        <w:t>475</w:t>
        <w:tab/>
        <w:t>+</w:t>
        <w:tab/>
      </w:r>
      <w:r/>
    </w:p>
    <w:p>
      <w:pPr>
        <w:pStyle w:val="CodeChangeLine"/>
        <w:tabs>
          <w:tab w:pos="567" w:val="left"/>
          <w:tab w:pos="1134" w:val="left"/>
          <w:tab w:pos="1247" w:val="left"/>
        </w:tabs>
        <w:shd w:val="clear" w:color="auto" w:fill="ecfdf0"/>
      </w:pPr>
      <w:r>
        <w:rPr>
          <w:color w:val="BFBFBF"/>
          <w:shd w:val="clear" w:color="auto" w:fill="#ddfbe6"/>
        </w:rPr>
        <w:tab/>
        <w:t>476</w:t>
        <w:tab/>
        <w:t>+</w:t>
        <w:tab/>
      </w:r>
      <w:r>
        <w:t>- MEC Application Mobility API (MEC 021)</w:t>
      </w:r>
    </w:p>
    <w:p>
      <w:pPr>
        <w:pStyle w:val="CodeChangeLine"/>
        <w:tabs>
          <w:tab w:pos="567" w:val="left"/>
          <w:tab w:pos="1134" w:val="left"/>
          <w:tab w:pos="1247" w:val="left"/>
        </w:tabs>
        <w:shd w:val="clear" w:color="auto" w:fill="ecfdf0"/>
      </w:pPr>
      <w:r>
        <w:rPr>
          <w:color w:val="BFBFBF"/>
          <w:shd w:val="clear" w:color="auto" w:fill="#ddfbe6"/>
        </w:rPr>
        <w:tab/>
        <w:t>477</w:t>
        <w:tab/>
        <w:t>+</w:t>
        <w:tab/>
      </w:r>
      <w:r>
        <w:t>- MEC RNIS API (MEC 012)</w:t>
      </w:r>
    </w:p>
    <w:p>
      <w:pPr>
        <w:pStyle w:val="CodeChangeLine"/>
        <w:tabs>
          <w:tab w:pos="567" w:val="left"/>
          <w:tab w:pos="1134" w:val="left"/>
          <w:tab w:pos="1247" w:val="left"/>
        </w:tabs>
        <w:shd w:val="clear" w:color="auto" w:fill="ecfdf0"/>
      </w:pPr>
      <w:r>
        <w:rPr>
          <w:color w:val="BFBFBF"/>
          <w:shd w:val="clear" w:color="auto" w:fill="#ddfbe6"/>
        </w:rPr>
        <w:tab/>
        <w:t>478</w:t>
        <w:tab/>
        <w:t>+</w:t>
        <w:tab/>
      </w:r>
      <w:r>
        <w:t>- MEC Location API (MEC 013)</w:t>
      </w:r>
    </w:p>
    <w:p>
      <w:pPr>
        <w:pStyle w:val="CodeChangeLine"/>
        <w:tabs>
          <w:tab w:pos="567" w:val="left"/>
          <w:tab w:pos="1134" w:val="left"/>
          <w:tab w:pos="1247" w:val="left"/>
        </w:tabs>
        <w:shd w:val="clear" w:color="auto" w:fill="ecfdf0"/>
      </w:pPr>
      <w:r>
        <w:rPr>
          <w:color w:val="BFBFBF"/>
          <w:shd w:val="clear" w:color="auto" w:fill="#ddfbe6"/>
        </w:rPr>
        <w:tab/>
        <w:t>479</w:t>
        <w:tab/>
        <w:t>+</w:t>
        <w:tab/>
      </w:r>
      <w:r>
        <w:t>- MEC Use case and Requirements (MEC 002)</w:t>
      </w:r>
    </w:p>
    <w:p>
      <w:pPr>
        <w:pStyle w:val="CodeChangeLine"/>
        <w:tabs>
          <w:tab w:pos="567" w:val="left"/>
          <w:tab w:pos="1134" w:val="left"/>
          <w:tab w:pos="1247" w:val="left"/>
        </w:tabs>
        <w:shd w:val="clear" w:color="auto" w:fill="ecfdf0"/>
      </w:pPr>
      <w:r>
        <w:rPr>
          <w:color w:val="BFBFBF"/>
          <w:shd w:val="clear" w:color="auto" w:fill="#ddfbe6"/>
        </w:rPr>
        <w:tab/>
        <w:t>480</w:t>
        <w:tab/>
        <w:t>+</w:t>
        <w:tab/>
      </w:r>
      <w:r>
        <w:t>- MEC Framework and Reference Architecture (MEC 003)</w:t>
      </w:r>
    </w:p>
    <w:p>
      <w:pPr>
        <w:pStyle w:val="CodeChangeLine"/>
        <w:tabs>
          <w:tab w:pos="567" w:val="left"/>
          <w:tab w:pos="1134" w:val="left"/>
          <w:tab w:pos="1247" w:val="left"/>
        </w:tabs>
        <w:shd w:val="clear" w:color="auto" w:fill="ecfdf0"/>
      </w:pPr>
      <w:r>
        <w:rPr>
          <w:color w:val="BFBFBF"/>
          <w:shd w:val="clear" w:color="auto" w:fill="#ddfbe6"/>
        </w:rPr>
        <w:tab/>
        <w:t>481</w:t>
        <w:tab/>
        <w:t>+</w:t>
        <w:tab/>
      </w:r>
      <w:r>
        <w:t>- oneM2M `trigger`, `remoteCSE` and `AE` re-registration procedure</w:t>
      </w:r>
    </w:p>
    <w:p>
      <w:pPr>
        <w:pStyle w:val="CodeChangeLine"/>
        <w:tabs>
          <w:tab w:pos="567" w:val="left"/>
          <w:tab w:pos="1134" w:val="left"/>
          <w:tab w:pos="1247" w:val="left"/>
        </w:tabs>
        <w:shd w:val="clear" w:color="auto" w:fill="ecfdf0"/>
      </w:pPr>
      <w:r>
        <w:rPr>
          <w:color w:val="BFBFBF"/>
          <w:shd w:val="clear" w:color="auto" w:fill="#ddfbe6"/>
        </w:rPr>
        <w:tab/>
        <w:t>482</w:t>
        <w:tab/>
        <w:t>+</w:t>
        <w:tab/>
      </w:r>
      <w:r/>
    </w:p>
    <w:p>
      <w:pPr>
        <w:pStyle w:val="CodeChangeLine"/>
        <w:tabs>
          <w:tab w:pos="567" w:val="left"/>
          <w:tab w:pos="1134" w:val="left"/>
          <w:tab w:pos="1247" w:val="left"/>
        </w:tabs>
        <w:shd w:val="clear" w:color="auto" w:fill="ecfdf0"/>
      </w:pPr>
      <w:r>
        <w:rPr>
          <w:color w:val="BFBFBF"/>
          <w:shd w:val="clear" w:color="auto" w:fill="#ddfbe6"/>
        </w:rPr>
        <w:tab/>
        <w:t>483</w:t>
        <w:tab/>
        <w:t>+</w:t>
        <w:tab/>
      </w:r>
      <w:r/>
    </w:p>
    <w:p>
      <w:pPr>
        <w:pStyle w:val="CodeChangeLine"/>
        <w:tabs>
          <w:tab w:pos="567" w:val="left"/>
          <w:tab w:pos="1134" w:val="left"/>
          <w:tab w:pos="1247" w:val="left"/>
        </w:tabs>
        <w:shd w:val="clear" w:color="auto" w:fill="ecfdf0"/>
      </w:pPr>
      <w:r>
        <w:rPr>
          <w:color w:val="BFBFBF"/>
          <w:shd w:val="clear" w:color="auto" w:fill="#ddfbe6"/>
        </w:rPr>
        <w:tab/>
        <w:t>484</w:t>
        <w:tab/>
        <w:t>+</w:t>
        <w:tab/>
      </w:r>
      <w:r/>
    </w:p>
    <w:p>
      <w:pPr>
        <w:pStyle w:val="CodeChangeLine"/>
        <w:tabs>
          <w:tab w:pos="567" w:val="left"/>
          <w:tab w:pos="1134" w:val="left"/>
          <w:tab w:pos="1247" w:val="left"/>
        </w:tabs>
        <w:shd w:val="clear" w:color="auto" w:fill="ecfdf0"/>
      </w:pPr>
      <w:r>
        <w:rPr>
          <w:color w:val="BFBFBF"/>
          <w:shd w:val="clear" w:color="auto" w:fill="#ddfbe6"/>
        </w:rPr>
        <w:tab/>
        <w:t>485</w:t>
        <w:tab/>
        <w:t>+</w:t>
        <w:tab/>
      </w:r>
      <w:r>
        <w:t>### 7.2.1.2 Signal-Quality-Triggered Handover (Edge-Assisted)</w:t>
      </w:r>
    </w:p>
    <w:p>
      <w:pPr>
        <w:pStyle w:val="CodeChangeLine"/>
        <w:tabs>
          <w:tab w:pos="567" w:val="left"/>
          <w:tab w:pos="1134" w:val="left"/>
          <w:tab w:pos="1247" w:val="left"/>
        </w:tabs>
        <w:shd w:val="clear" w:color="auto" w:fill="ecfdf0"/>
      </w:pPr>
      <w:r>
        <w:rPr>
          <w:color w:val="BFBFBF"/>
          <w:shd w:val="clear" w:color="auto" w:fill="#ddfbe6"/>
        </w:rPr>
        <w:tab/>
        <w:t>486</w:t>
        <w:tab/>
        <w:t>+</w:t>
        <w:tab/>
      </w:r>
      <w:r/>
    </w:p>
    <w:p>
      <w:pPr>
        <w:pStyle w:val="CodeChangeLine"/>
        <w:tabs>
          <w:tab w:pos="567" w:val="left"/>
          <w:tab w:pos="1134" w:val="left"/>
          <w:tab w:pos="1247" w:val="left"/>
        </w:tabs>
        <w:shd w:val="clear" w:color="auto" w:fill="ecfdf0"/>
      </w:pPr>
      <w:r>
        <w:rPr>
          <w:color w:val="BFBFBF"/>
          <w:shd w:val="clear" w:color="auto" w:fill="#ddfbe6"/>
        </w:rPr>
        <w:tab/>
        <w:t>487</w:t>
        <w:tab/>
        <w:t>+</w:t>
        <w:tab/>
      </w:r>
      <w:r/>
    </w:p>
    <w:p>
      <w:pPr>
        <w:pStyle w:val="CodeChangeLine"/>
        <w:tabs>
          <w:tab w:pos="567" w:val="left"/>
          <w:tab w:pos="1134" w:val="left"/>
          <w:tab w:pos="1247" w:val="left"/>
        </w:tabs>
        <w:shd w:val="clear" w:color="auto" w:fill="ecfdf0"/>
      </w:pPr>
      <w:r>
        <w:rPr>
          <w:color w:val="BFBFBF"/>
          <w:shd w:val="clear" w:color="auto" w:fill="#ddfbe6"/>
        </w:rPr>
        <w:tab/>
        <w:t>488</w:t>
        <w:tab/>
        <w:t>+</w:t>
        <w:tab/>
      </w:r>
      <w:r>
        <w:t>A MEC application or edge AE may monitor radio conditions such as RSRP or SINR using the MEC Radio Network Information Service (ETSI GS MEC 012) or vendor-specific telemetry. When degradation is detected, application-specific logic may notify a oneM2M orchestrator AE or IN-CSE. Based on local policies, the orchestrator may decide to redirect the application or re-register the AE with another MN-CSE. Such behavior is implementation-specific and does not provide standardized application context transfer or session continuity.</w:t>
      </w:r>
    </w:p>
    <w:p>
      <w:pPr>
        <w:pStyle w:val="CodeChangeLine"/>
        <w:tabs>
          <w:tab w:pos="567" w:val="left"/>
          <w:tab w:pos="1134" w:val="left"/>
          <w:tab w:pos="1247" w:val="left"/>
        </w:tabs>
        <w:shd w:val="clear" w:color="auto" w:fill="ecfdf0"/>
      </w:pPr>
      <w:r>
        <w:rPr>
          <w:color w:val="BFBFBF"/>
          <w:shd w:val="clear" w:color="auto" w:fill="#ddfbe6"/>
        </w:rPr>
        <w:tab/>
        <w:t>489</w:t>
        <w:tab/>
        <w:t>+</w:t>
        <w:tab/>
      </w:r>
      <w:r/>
    </w:p>
    <w:p>
      <w:pPr>
        <w:pStyle w:val="CodeChangeLine"/>
        <w:tabs>
          <w:tab w:pos="567" w:val="left"/>
          <w:tab w:pos="1134" w:val="left"/>
          <w:tab w:pos="1247" w:val="left"/>
        </w:tabs>
        <w:shd w:val="clear" w:color="auto" w:fill="ecfdf0"/>
      </w:pPr>
      <w:r>
        <w:rPr>
          <w:color w:val="BFBFBF"/>
          <w:shd w:val="clear" w:color="auto" w:fill="#ddfbe6"/>
        </w:rPr>
        <w:tab/>
        <w:t>490</w:t>
        <w:tab/>
        <w:t>+</w:t>
        <w:tab/>
      </w:r>
      <w:r>
        <w:t>![Fig 7.2.1.2-1](media/handover_7_2_1_2.png)</w:t>
      </w:r>
    </w:p>
    <w:p>
      <w:pPr>
        <w:pStyle w:val="CodeChangeLine"/>
        <w:tabs>
          <w:tab w:pos="567" w:val="left"/>
          <w:tab w:pos="1134" w:val="left"/>
          <w:tab w:pos="1247" w:val="left"/>
        </w:tabs>
        <w:shd w:val="clear" w:color="auto" w:fill="ecfdf0"/>
      </w:pPr>
      <w:r>
        <w:rPr>
          <w:color w:val="BFBFBF"/>
          <w:shd w:val="clear" w:color="auto" w:fill="#ddfbe6"/>
        </w:rPr>
        <w:tab/>
        <w:t>491</w:t>
        <w:tab/>
        <w:t>+</w:t>
        <w:tab/>
      </w:r>
      <w:r/>
    </w:p>
    <w:p>
      <w:pPr>
        <w:pStyle w:val="CodeChangeLine"/>
        <w:tabs>
          <w:tab w:pos="567" w:val="left"/>
          <w:tab w:pos="1134" w:val="left"/>
          <w:tab w:pos="1247" w:val="left"/>
        </w:tabs>
        <w:shd w:val="clear" w:color="auto" w:fill="ecfdf0"/>
      </w:pPr>
      <w:r>
        <w:rPr>
          <w:color w:val="BFBFBF"/>
          <w:shd w:val="clear" w:color="auto" w:fill="#ddfbe6"/>
        </w:rPr>
        <w:tab/>
        <w:t>492</w:t>
        <w:tab/>
        <w:t>+</w:t>
        <w:tab/>
      </w:r>
      <w:r>
        <w:t>**Fig 7.2.1.2-1 Signal-Quality-Triggered Handover (Edge-Assisted)**</w:t>
      </w:r>
    </w:p>
    <w:p>
      <w:pPr>
        <w:pStyle w:val="CodeChangeLine"/>
        <w:tabs>
          <w:tab w:pos="567" w:val="left"/>
          <w:tab w:pos="1134" w:val="left"/>
          <w:tab w:pos="1247" w:val="left"/>
        </w:tabs>
        <w:shd w:val="clear" w:color="auto" w:fill="ecfdf0"/>
      </w:pPr>
      <w:r>
        <w:rPr>
          <w:color w:val="BFBFBF"/>
          <w:shd w:val="clear" w:color="auto" w:fill="#ddfbe6"/>
        </w:rPr>
        <w:tab/>
        <w:t>493</w:t>
        <w:tab/>
        <w:t>+</w:t>
        <w:tab/>
      </w:r>
      <w:r/>
    </w:p>
    <w:p>
      <w:pPr>
        <w:pStyle w:val="CodeChangeLine"/>
        <w:tabs>
          <w:tab w:pos="567" w:val="left"/>
          <w:tab w:pos="1134" w:val="left"/>
          <w:tab w:pos="1247" w:val="left"/>
        </w:tabs>
        <w:shd w:val="clear" w:color="auto" w:fill="ecfdf0"/>
      </w:pPr>
      <w:r>
        <w:rPr>
          <w:color w:val="BFBFBF"/>
          <w:shd w:val="clear" w:color="auto" w:fill="#ddfbe6"/>
        </w:rPr>
        <w:tab/>
        <w:t>494</w:t>
        <w:tab/>
        <w:t>+</w:t>
        <w:tab/>
      </w:r>
      <w:r/>
    </w:p>
    <w:p>
      <w:pPr>
        <w:pStyle w:val="CodeChangeLine"/>
        <w:tabs>
          <w:tab w:pos="567" w:val="left"/>
          <w:tab w:pos="1134" w:val="left"/>
          <w:tab w:pos="1247" w:val="left"/>
        </w:tabs>
        <w:shd w:val="clear" w:color="auto" w:fill="ecfdf0"/>
      </w:pPr>
      <w:r>
        <w:rPr>
          <w:color w:val="BFBFBF"/>
          <w:shd w:val="clear" w:color="auto" w:fill="#ddfbe6"/>
        </w:rPr>
        <w:tab/>
        <w:t>495</w:t>
        <w:tab/>
        <w:t>+</w:t>
        <w:tab/>
      </w:r>
      <w:r/>
    </w:p>
    <w:p>
      <w:pPr>
        <w:pStyle w:val="CodeChangeLine"/>
        <w:tabs>
          <w:tab w:pos="567" w:val="left"/>
          <w:tab w:pos="1134" w:val="left"/>
          <w:tab w:pos="1247" w:val="left"/>
        </w:tabs>
        <w:shd w:val="clear" w:color="auto" w:fill="ecfdf0"/>
      </w:pPr>
      <w:r>
        <w:rPr>
          <w:color w:val="BFBFBF"/>
          <w:shd w:val="clear" w:color="auto" w:fill="#ddfbe6"/>
        </w:rPr>
        <w:tab/>
        <w:t>496</w:t>
        <w:tab/>
        <w:t>+</w:t>
        <w:tab/>
      </w:r>
      <w:r>
        <w:t>**Key oneM2M/MEC Components:**</w:t>
      </w:r>
    </w:p>
    <w:p>
      <w:pPr>
        <w:pStyle w:val="CodeChangeLine"/>
        <w:tabs>
          <w:tab w:pos="567" w:val="left"/>
          <w:tab w:pos="1134" w:val="left"/>
          <w:tab w:pos="1247" w:val="left"/>
        </w:tabs>
        <w:shd w:val="clear" w:color="auto" w:fill="ecfdf0"/>
      </w:pPr>
      <w:r>
        <w:rPr>
          <w:color w:val="BFBFBF"/>
          <w:shd w:val="clear" w:color="auto" w:fill="#ddfbe6"/>
        </w:rPr>
        <w:tab/>
        <w:t>497</w:t>
        <w:tab/>
        <w:t>+</w:t>
        <w:tab/>
      </w:r>
      <w:r/>
    </w:p>
    <w:p>
      <w:pPr>
        <w:pStyle w:val="CodeChangeLine"/>
        <w:tabs>
          <w:tab w:pos="567" w:val="left"/>
          <w:tab w:pos="1134" w:val="left"/>
          <w:tab w:pos="1247" w:val="left"/>
        </w:tabs>
        <w:shd w:val="clear" w:color="auto" w:fill="ecfdf0"/>
      </w:pPr>
      <w:r>
        <w:rPr>
          <w:color w:val="BFBFBF"/>
          <w:shd w:val="clear" w:color="auto" w:fill="#ddfbe6"/>
        </w:rPr>
        <w:tab/>
        <w:t>498</w:t>
        <w:tab/>
        <w:t>+</w:t>
        <w:tab/>
      </w:r>
      <w:r>
        <w:t>- MEC RNIS API (MEC 012)</w:t>
      </w:r>
    </w:p>
    <w:p>
      <w:pPr>
        <w:pStyle w:val="CodeChangeLine"/>
        <w:tabs>
          <w:tab w:pos="567" w:val="left"/>
          <w:tab w:pos="1134" w:val="left"/>
          <w:tab w:pos="1247" w:val="left"/>
        </w:tabs>
        <w:shd w:val="clear" w:color="auto" w:fill="ecfdf0"/>
      </w:pPr>
      <w:r>
        <w:rPr>
          <w:color w:val="BFBFBF"/>
          <w:shd w:val="clear" w:color="auto" w:fill="#ddfbe6"/>
        </w:rPr>
        <w:tab/>
        <w:t>499</w:t>
        <w:tab/>
        <w:t>+</w:t>
        <w:tab/>
      </w:r>
      <w:r>
        <w:t>- oneM2M `flexContainer` or `mgmtObj` schema to represent and cache MEC platform utilization metrics as a oneM2M resource, enabling policy evaluation against CMDH thresholds.</w:t>
      </w:r>
    </w:p>
    <w:p>
      <w:pPr>
        <w:pStyle w:val="CodeChangeLine"/>
        <w:tabs>
          <w:tab w:pos="567" w:val="left"/>
          <w:tab w:pos="1134" w:val="left"/>
          <w:tab w:pos="1247" w:val="left"/>
        </w:tabs>
        <w:shd w:val="clear" w:color="auto" w:fill="ecfdf0"/>
      </w:pPr>
      <w:r>
        <w:rPr>
          <w:color w:val="BFBFBF"/>
          <w:shd w:val="clear" w:color="auto" w:fill="#ddfbe6"/>
        </w:rPr>
        <w:tab/>
        <w:t>500</w:t>
        <w:tab/>
        <w:t>+</w:t>
        <w:tab/>
      </w:r>
      <w:r>
        <w:t>- oneM2M `AE` re-registration triggered by policy</w:t>
      </w:r>
    </w:p>
    <w:p>
      <w:pPr>
        <w:pStyle w:val="CodeChangeLine"/>
        <w:tabs>
          <w:tab w:pos="567" w:val="left"/>
          <w:tab w:pos="1134" w:val="left"/>
          <w:tab w:pos="1247" w:val="left"/>
        </w:tabs>
        <w:shd w:val="clear" w:color="auto" w:fill="ecfdf0"/>
      </w:pPr>
      <w:r>
        <w:rPr>
          <w:color w:val="BFBFBF"/>
          <w:shd w:val="clear" w:color="auto" w:fill="#ddfbe6"/>
        </w:rPr>
        <w:tab/>
        <w:t>501</w:t>
        <w:tab/>
        <w:t>+</w:t>
        <w:tab/>
      </w:r>
      <w:r/>
    </w:p>
    <w:p>
      <w:pPr>
        <w:pStyle w:val="CodeChangeLine"/>
        <w:tabs>
          <w:tab w:pos="567" w:val="left"/>
          <w:tab w:pos="1134" w:val="left"/>
          <w:tab w:pos="1247" w:val="left"/>
        </w:tabs>
        <w:shd w:val="clear" w:color="auto" w:fill="ecfdf0"/>
      </w:pPr>
      <w:r>
        <w:rPr>
          <w:color w:val="BFBFBF"/>
          <w:shd w:val="clear" w:color="auto" w:fill="#ddfbe6"/>
        </w:rPr>
        <w:tab/>
        <w:t>502</w:t>
        <w:tab/>
        <w:t>+</w:t>
        <w:tab/>
      </w:r>
      <w:r/>
    </w:p>
    <w:p>
      <w:pPr>
        <w:pStyle w:val="CodeChangeLine"/>
        <w:tabs>
          <w:tab w:pos="567" w:val="left"/>
          <w:tab w:pos="1134" w:val="left"/>
          <w:tab w:pos="1247" w:val="left"/>
        </w:tabs>
        <w:shd w:val="clear" w:color="auto" w:fill="ecfdf0"/>
      </w:pPr>
      <w:r>
        <w:rPr>
          <w:color w:val="BFBFBF"/>
          <w:shd w:val="clear" w:color="auto" w:fill="#ddfbe6"/>
        </w:rPr>
        <w:tab/>
        <w:t>503</w:t>
        <w:tab/>
        <w:t>+</w:t>
        <w:tab/>
      </w:r>
      <w:r/>
    </w:p>
    <w:p>
      <w:pPr>
        <w:pStyle w:val="CodeChangeLine"/>
        <w:tabs>
          <w:tab w:pos="567" w:val="left"/>
          <w:tab w:pos="1134" w:val="left"/>
          <w:tab w:pos="1247" w:val="left"/>
        </w:tabs>
        <w:shd w:val="clear" w:color="auto" w:fill="ecfdf0"/>
      </w:pPr>
      <w:r>
        <w:rPr>
          <w:color w:val="BFBFBF"/>
          <w:shd w:val="clear" w:color="auto" w:fill="#ddfbe6"/>
        </w:rPr>
        <w:tab/>
        <w:t>504</w:t>
        <w:tab/>
        <w:t>+</w:t>
        <w:tab/>
      </w:r>
      <w:r>
        <w:t>### 7.2.1.3 Load-Balancing-Based Handover (Orchestrator-Driven)</w:t>
      </w:r>
    </w:p>
    <w:p>
      <w:pPr>
        <w:pStyle w:val="CodeChangeLine"/>
        <w:tabs>
          <w:tab w:pos="567" w:val="left"/>
          <w:tab w:pos="1134" w:val="left"/>
          <w:tab w:pos="1247" w:val="left"/>
        </w:tabs>
        <w:shd w:val="clear" w:color="auto" w:fill="ecfdf0"/>
      </w:pPr>
      <w:r>
        <w:rPr>
          <w:color w:val="BFBFBF"/>
          <w:shd w:val="clear" w:color="auto" w:fill="#ddfbe6"/>
        </w:rPr>
        <w:tab/>
        <w:t>505</w:t>
        <w:tab/>
        <w:t>+</w:t>
        <w:tab/>
      </w:r>
      <w:r/>
    </w:p>
    <w:p>
      <w:pPr>
        <w:pStyle w:val="CodeChangeLine"/>
        <w:tabs>
          <w:tab w:pos="567" w:val="left"/>
          <w:tab w:pos="1134" w:val="left"/>
          <w:tab w:pos="1247" w:val="left"/>
        </w:tabs>
        <w:shd w:val="clear" w:color="auto" w:fill="ecfdf0"/>
      </w:pPr>
      <w:r>
        <w:rPr>
          <w:color w:val="BFBFBF"/>
          <w:shd w:val="clear" w:color="auto" w:fill="#ddfbe6"/>
        </w:rPr>
        <w:tab/>
        <w:t>506</w:t>
        <w:tab/>
        <w:t>+</w:t>
        <w:tab/>
      </w:r>
      <w:r>
        <w:t>The **MEC Orchestrator (MEO)** collects utilization data from multiple MEC platforms (CPU, memory, radio load). Using **MEC 010-02 Orchestration API**, it informs the **oneM2M IN-CSE Orchestration AE**. The AE decides to migrate certain devices or AEs to other MN-CSEs to balance processing or connectivity load. The migration involves updating the **remoteCSE** and `AE` resources.</w:t>
      </w:r>
    </w:p>
    <w:p>
      <w:pPr>
        <w:pStyle w:val="CodeChangeLine"/>
        <w:tabs>
          <w:tab w:pos="567" w:val="left"/>
          <w:tab w:pos="1134" w:val="left"/>
          <w:tab w:pos="1247" w:val="left"/>
        </w:tabs>
        <w:shd w:val="clear" w:color="auto" w:fill="ecfdf0"/>
      </w:pPr>
      <w:r>
        <w:rPr>
          <w:color w:val="BFBFBF"/>
          <w:shd w:val="clear" w:color="auto" w:fill="#ddfbe6"/>
        </w:rPr>
        <w:tab/>
        <w:t>507</w:t>
        <w:tab/>
        <w:t>+</w:t>
        <w:tab/>
      </w:r>
      <w:r/>
    </w:p>
    <w:p>
      <w:pPr>
        <w:pStyle w:val="CodeChangeLine"/>
        <w:tabs>
          <w:tab w:pos="567" w:val="left"/>
          <w:tab w:pos="1134" w:val="left"/>
          <w:tab w:pos="1247" w:val="left"/>
        </w:tabs>
        <w:shd w:val="clear" w:color="auto" w:fill="ecfdf0"/>
      </w:pPr>
      <w:r>
        <w:rPr>
          <w:color w:val="BFBFBF"/>
          <w:shd w:val="clear" w:color="auto" w:fill="#ddfbe6"/>
        </w:rPr>
        <w:tab/>
        <w:t>508</w:t>
        <w:tab/>
        <w:t>+</w:t>
        <w:tab/>
      </w:r>
      <w:r/>
    </w:p>
    <w:p>
      <w:pPr>
        <w:pStyle w:val="CodeChangeLine"/>
        <w:tabs>
          <w:tab w:pos="567" w:val="left"/>
          <w:tab w:pos="1134" w:val="left"/>
          <w:tab w:pos="1247" w:val="left"/>
        </w:tabs>
        <w:shd w:val="clear" w:color="auto" w:fill="ecfdf0"/>
      </w:pPr>
      <w:r>
        <w:rPr>
          <w:color w:val="BFBFBF"/>
          <w:shd w:val="clear" w:color="auto" w:fill="#ddfbe6"/>
        </w:rPr>
        <w:tab/>
        <w:t>509</w:t>
        <w:tab/>
        <w:t>+</w:t>
        <w:tab/>
      </w:r>
      <w:r>
        <w:t>![Fig 7.2.1.3-1](media/handover_7_2_1_3.png)</w:t>
      </w:r>
    </w:p>
    <w:p>
      <w:pPr>
        <w:pStyle w:val="CodeChangeLine"/>
        <w:tabs>
          <w:tab w:pos="567" w:val="left"/>
          <w:tab w:pos="1134" w:val="left"/>
          <w:tab w:pos="1247" w:val="left"/>
        </w:tabs>
        <w:shd w:val="clear" w:color="auto" w:fill="ecfdf0"/>
      </w:pPr>
      <w:r>
        <w:rPr>
          <w:color w:val="BFBFBF"/>
          <w:shd w:val="clear" w:color="auto" w:fill="#ddfbe6"/>
        </w:rPr>
        <w:tab/>
        <w:t>510</w:t>
        <w:tab/>
        <w:t>+</w:t>
        <w:tab/>
      </w:r>
      <w:r/>
    </w:p>
    <w:p>
      <w:pPr>
        <w:pStyle w:val="CodeChangeLine"/>
        <w:tabs>
          <w:tab w:pos="567" w:val="left"/>
          <w:tab w:pos="1134" w:val="left"/>
          <w:tab w:pos="1247" w:val="left"/>
        </w:tabs>
        <w:shd w:val="clear" w:color="auto" w:fill="ecfdf0"/>
      </w:pPr>
      <w:r>
        <w:rPr>
          <w:color w:val="BFBFBF"/>
          <w:shd w:val="clear" w:color="auto" w:fill="#ddfbe6"/>
        </w:rPr>
        <w:tab/>
        <w:t>511</w:t>
        <w:tab/>
        <w:t>+</w:t>
        <w:tab/>
      </w:r>
      <w:r>
        <w:t>**Fig 7.2.1.3-1 Load-Balancing-Based Handover (Orchestrator-Driven)**</w:t>
      </w:r>
    </w:p>
    <w:p>
      <w:pPr>
        <w:pStyle w:val="CodeChangeLine"/>
        <w:tabs>
          <w:tab w:pos="567" w:val="left"/>
          <w:tab w:pos="1134" w:val="left"/>
          <w:tab w:pos="1247" w:val="left"/>
        </w:tabs>
        <w:shd w:val="clear" w:color="auto" w:fill="ecfdf0"/>
      </w:pPr>
      <w:r>
        <w:rPr>
          <w:color w:val="BFBFBF"/>
          <w:shd w:val="clear" w:color="auto" w:fill="#ddfbe6"/>
        </w:rPr>
        <w:tab/>
        <w:t>512</w:t>
        <w:tab/>
        <w:t>+</w:t>
        <w:tab/>
      </w:r>
      <w:r/>
    </w:p>
    <w:p>
      <w:pPr>
        <w:pStyle w:val="CodeChangeLine"/>
        <w:tabs>
          <w:tab w:pos="567" w:val="left"/>
          <w:tab w:pos="1134" w:val="left"/>
          <w:tab w:pos="1247" w:val="left"/>
        </w:tabs>
        <w:shd w:val="clear" w:color="auto" w:fill="ecfdf0"/>
      </w:pPr>
      <w:r>
        <w:rPr>
          <w:color w:val="BFBFBF"/>
          <w:shd w:val="clear" w:color="auto" w:fill="#ddfbe6"/>
        </w:rPr>
        <w:tab/>
        <w:t>513</w:t>
        <w:tab/>
        <w:t>+</w:t>
        <w:tab/>
      </w:r>
      <w:r/>
    </w:p>
    <w:p>
      <w:pPr>
        <w:pStyle w:val="CodeChangeLine"/>
        <w:tabs>
          <w:tab w:pos="567" w:val="left"/>
          <w:tab w:pos="1134" w:val="left"/>
          <w:tab w:pos="1247" w:val="left"/>
        </w:tabs>
        <w:shd w:val="clear" w:color="auto" w:fill="ecfdf0"/>
      </w:pPr>
      <w:r>
        <w:rPr>
          <w:color w:val="BFBFBF"/>
          <w:shd w:val="clear" w:color="auto" w:fill="#ddfbe6"/>
        </w:rPr>
        <w:tab/>
        <w:t>514</w:t>
        <w:tab/>
        <w:t>+</w:t>
        <w:tab/>
      </w:r>
      <w:r>
        <w:t>**Key oneM2M/MEC Components:**</w:t>
      </w:r>
    </w:p>
    <w:p>
      <w:pPr>
        <w:pStyle w:val="CodeChangeLine"/>
        <w:tabs>
          <w:tab w:pos="567" w:val="left"/>
          <w:tab w:pos="1134" w:val="left"/>
          <w:tab w:pos="1247" w:val="left"/>
        </w:tabs>
        <w:shd w:val="clear" w:color="auto" w:fill="ecfdf0"/>
      </w:pPr>
      <w:r>
        <w:rPr>
          <w:color w:val="BFBFBF"/>
          <w:shd w:val="clear" w:color="auto" w:fill="#ddfbe6"/>
        </w:rPr>
        <w:tab/>
        <w:t>515</w:t>
        <w:tab/>
        <w:t>+</w:t>
        <w:tab/>
      </w:r>
      <w:r/>
    </w:p>
    <w:p>
      <w:pPr>
        <w:pStyle w:val="CodeChangeLine"/>
        <w:tabs>
          <w:tab w:pos="567" w:val="left"/>
          <w:tab w:pos="1134" w:val="left"/>
          <w:tab w:pos="1247" w:val="left"/>
        </w:tabs>
        <w:shd w:val="clear" w:color="auto" w:fill="ecfdf0"/>
      </w:pPr>
      <w:r>
        <w:rPr>
          <w:color w:val="BFBFBF"/>
          <w:shd w:val="clear" w:color="auto" w:fill="#ddfbe6"/>
        </w:rPr>
        <w:tab/>
        <w:t>516</w:t>
        <w:tab/>
        <w:t>+</w:t>
        <w:tab/>
      </w:r>
      <w:r>
        <w:t>- MEC Application lifecycle, rules and requirements management (MEC 010-02)</w:t>
      </w:r>
    </w:p>
    <w:p>
      <w:pPr>
        <w:pStyle w:val="CodeChangeLine"/>
        <w:tabs>
          <w:tab w:pos="567" w:val="left"/>
          <w:tab w:pos="1134" w:val="left"/>
          <w:tab w:pos="1247" w:val="left"/>
        </w:tabs>
        <w:shd w:val="clear" w:color="auto" w:fill="ecfdf0"/>
      </w:pPr>
      <w:r>
        <w:rPr>
          <w:color w:val="BFBFBF"/>
          <w:shd w:val="clear" w:color="auto" w:fill="#ddfbe6"/>
        </w:rPr>
        <w:tab/>
        <w:t>517</w:t>
        <w:tab/>
        <w:t>+</w:t>
        <w:tab/>
      </w:r>
      <w:r>
        <w:t>- MEC RNIS API (MEC 012)</w:t>
      </w:r>
    </w:p>
    <w:p>
      <w:pPr>
        <w:pStyle w:val="CodeChangeLine"/>
        <w:tabs>
          <w:tab w:pos="567" w:val="left"/>
          <w:tab w:pos="1134" w:val="left"/>
          <w:tab w:pos="1247" w:val="left"/>
        </w:tabs>
        <w:shd w:val="clear" w:color="auto" w:fill="ecfdf0"/>
      </w:pPr>
      <w:r>
        <w:rPr>
          <w:color w:val="BFBFBF"/>
          <w:shd w:val="clear" w:color="auto" w:fill="#ddfbe6"/>
        </w:rPr>
        <w:tab/>
        <w:t>518</w:t>
        <w:tab/>
        <w:t>+</w:t>
        <w:tab/>
      </w:r>
      <w:r>
        <w:t>- oneM2M Orchestration AE managing `remoteCSE` mappings</w:t>
      </w:r>
    </w:p>
    <w:p>
      <w:pPr>
        <w:pStyle w:val="CodeChangeLine"/>
        <w:tabs>
          <w:tab w:pos="567" w:val="left"/>
          <w:tab w:pos="1134" w:val="left"/>
          <w:tab w:pos="1247" w:val="left"/>
        </w:tabs>
        <w:shd w:val="clear" w:color="auto" w:fill="ecfdf0"/>
      </w:pPr>
      <w:r>
        <w:rPr>
          <w:color w:val="BFBFBF"/>
          <w:shd w:val="clear" w:color="auto" w:fill="#ddfbe6"/>
        </w:rPr>
        <w:tab/>
        <w:t>519</w:t>
        <w:tab/>
        <w:t>+</w:t>
        <w:tab/>
      </w:r>
      <w:r/>
    </w:p>
    <w:p>
      <w:pPr>
        <w:pStyle w:val="CodeChangeLine"/>
        <w:tabs>
          <w:tab w:pos="567" w:val="left"/>
          <w:tab w:pos="1134" w:val="left"/>
          <w:tab w:pos="1247" w:val="left"/>
        </w:tabs>
        <w:shd w:val="clear" w:color="auto" w:fill="ecfdf0"/>
      </w:pPr>
      <w:r>
        <w:rPr>
          <w:color w:val="BFBFBF"/>
          <w:shd w:val="clear" w:color="auto" w:fill="#ddfbe6"/>
        </w:rPr>
        <w:tab/>
        <w:t>520</w:t>
        <w:tab/>
        <w:t>+</w:t>
        <w:tab/>
      </w:r>
      <w:r/>
    </w:p>
    <w:p>
      <w:pPr>
        <w:pStyle w:val="CodeChangeLine"/>
        <w:tabs>
          <w:tab w:pos="567" w:val="left"/>
          <w:tab w:pos="1134" w:val="left"/>
          <w:tab w:pos="1247" w:val="left"/>
        </w:tabs>
        <w:shd w:val="clear" w:color="auto" w:fill="ecfdf0"/>
      </w:pPr>
      <w:r>
        <w:rPr>
          <w:color w:val="BFBFBF"/>
          <w:shd w:val="clear" w:color="auto" w:fill="#ddfbe6"/>
        </w:rPr>
        <w:tab/>
        <w:t>521</w:t>
        <w:tab/>
        <w:t>+</w:t>
        <w:tab/>
      </w:r>
      <w:r/>
    </w:p>
    <w:p>
      <w:pPr>
        <w:pStyle w:val="CodeChangeLine"/>
        <w:tabs>
          <w:tab w:pos="567" w:val="left"/>
          <w:tab w:pos="1134" w:val="left"/>
          <w:tab w:pos="1247" w:val="left"/>
        </w:tabs>
        <w:shd w:val="clear" w:color="auto" w:fill="ecfdf0"/>
      </w:pPr>
      <w:r>
        <w:rPr>
          <w:color w:val="BFBFBF"/>
          <w:shd w:val="clear" w:color="auto" w:fill="#ddfbe6"/>
        </w:rPr>
        <w:tab/>
        <w:t>522</w:t>
        <w:tab/>
        <w:t>+</w:t>
        <w:tab/>
      </w:r>
      <w:r>
        <w:t>### 7.2.1.4 Device-Initiated Handover (Autonomous Device)</w:t>
      </w:r>
    </w:p>
    <w:p>
      <w:pPr>
        <w:pStyle w:val="CodeChangeLine"/>
        <w:tabs>
          <w:tab w:pos="567" w:val="left"/>
          <w:tab w:pos="1134" w:val="left"/>
          <w:tab w:pos="1247" w:val="left"/>
        </w:tabs>
        <w:shd w:val="clear" w:color="auto" w:fill="ecfdf0"/>
      </w:pPr>
      <w:r>
        <w:rPr>
          <w:color w:val="BFBFBF"/>
          <w:shd w:val="clear" w:color="auto" w:fill="#ddfbe6"/>
        </w:rPr>
        <w:tab/>
        <w:t>523</w:t>
        <w:tab/>
        <w:t>+</w:t>
        <w:tab/>
      </w:r>
      <w:r/>
    </w:p>
    <w:p>
      <w:pPr>
        <w:pStyle w:val="CodeChangeLine"/>
        <w:tabs>
          <w:tab w:pos="567" w:val="left"/>
          <w:tab w:pos="1134" w:val="left"/>
          <w:tab w:pos="1247" w:val="left"/>
        </w:tabs>
        <w:shd w:val="clear" w:color="auto" w:fill="ecfdf0"/>
      </w:pPr>
      <w:r>
        <w:rPr>
          <w:color w:val="BFBFBF"/>
          <w:shd w:val="clear" w:color="auto" w:fill="#ddfbe6"/>
        </w:rPr>
        <w:tab/>
        <w:t>524</w:t>
        <w:tab/>
        <w:t>+</w:t>
        <w:tab/>
      </w:r>
      <w:r>
        <w:t>A **oneM2M AE running on the UE** monitors signal strength, latency, or application performance using **MEC Radio Network Information Service (RNIS, MEC 012)**. Based on predefined policies or ML inference, it selects a new access point and re-registers with another MN-CSE directly, reporting the change to the IN-CSE.</w:t>
      </w:r>
    </w:p>
    <w:p>
      <w:pPr>
        <w:pStyle w:val="CodeChangeLine"/>
        <w:tabs>
          <w:tab w:pos="567" w:val="left"/>
          <w:tab w:pos="1134" w:val="left"/>
          <w:tab w:pos="1247" w:val="left"/>
        </w:tabs>
        <w:shd w:val="clear" w:color="auto" w:fill="ecfdf0"/>
      </w:pPr>
      <w:r>
        <w:rPr>
          <w:color w:val="BFBFBF"/>
          <w:shd w:val="clear" w:color="auto" w:fill="#ddfbe6"/>
        </w:rPr>
        <w:tab/>
        <w:t>525</w:t>
        <w:tab/>
        <w:t>+</w:t>
        <w:tab/>
      </w:r>
      <w:r/>
    </w:p>
    <w:p>
      <w:pPr>
        <w:pStyle w:val="CodeChangeLine"/>
        <w:tabs>
          <w:tab w:pos="567" w:val="left"/>
          <w:tab w:pos="1134" w:val="left"/>
          <w:tab w:pos="1247" w:val="left"/>
        </w:tabs>
        <w:shd w:val="clear" w:color="auto" w:fill="ecfdf0"/>
      </w:pPr>
      <w:r>
        <w:rPr>
          <w:color w:val="BFBFBF"/>
          <w:shd w:val="clear" w:color="auto" w:fill="#ddfbe6"/>
        </w:rPr>
        <w:tab/>
        <w:t>526</w:t>
        <w:tab/>
        <w:t>+</w:t>
        <w:tab/>
      </w:r>
      <w:r>
        <w:t>![Fig 7.2.1.4-1](media/handover_7_2_1_4.png)</w:t>
      </w:r>
    </w:p>
    <w:p>
      <w:pPr>
        <w:pStyle w:val="CodeChangeLine"/>
        <w:tabs>
          <w:tab w:pos="567" w:val="left"/>
          <w:tab w:pos="1134" w:val="left"/>
          <w:tab w:pos="1247" w:val="left"/>
        </w:tabs>
        <w:shd w:val="clear" w:color="auto" w:fill="ecfdf0"/>
      </w:pPr>
      <w:r>
        <w:rPr>
          <w:color w:val="BFBFBF"/>
          <w:shd w:val="clear" w:color="auto" w:fill="#ddfbe6"/>
        </w:rPr>
        <w:tab/>
        <w:t>527</w:t>
        <w:tab/>
        <w:t>+</w:t>
        <w:tab/>
      </w:r>
      <w:r/>
    </w:p>
    <w:p>
      <w:pPr>
        <w:pStyle w:val="CodeChangeLine"/>
        <w:tabs>
          <w:tab w:pos="567" w:val="left"/>
          <w:tab w:pos="1134" w:val="left"/>
          <w:tab w:pos="1247" w:val="left"/>
        </w:tabs>
        <w:shd w:val="clear" w:color="auto" w:fill="ecfdf0"/>
      </w:pPr>
      <w:r>
        <w:rPr>
          <w:color w:val="BFBFBF"/>
          <w:shd w:val="clear" w:color="auto" w:fill="#ddfbe6"/>
        </w:rPr>
        <w:tab/>
        <w:t>528</w:t>
        <w:tab/>
        <w:t>+</w:t>
        <w:tab/>
      </w:r>
      <w:r>
        <w:t>**Fig 7.2.1.4-1 Device-Initiated Handover (Autonomous Device)**</w:t>
      </w:r>
    </w:p>
    <w:p>
      <w:pPr>
        <w:pStyle w:val="CodeChangeLine"/>
        <w:tabs>
          <w:tab w:pos="567" w:val="left"/>
          <w:tab w:pos="1134" w:val="left"/>
          <w:tab w:pos="1247" w:val="left"/>
        </w:tabs>
        <w:shd w:val="clear" w:color="auto" w:fill="ecfdf0"/>
      </w:pPr>
      <w:r>
        <w:rPr>
          <w:color w:val="BFBFBF"/>
          <w:shd w:val="clear" w:color="auto" w:fill="#ddfbe6"/>
        </w:rPr>
        <w:tab/>
        <w:t>529</w:t>
        <w:tab/>
        <w:t>+</w:t>
        <w:tab/>
      </w:r>
      <w:r/>
    </w:p>
    <w:p>
      <w:pPr>
        <w:pStyle w:val="CodeChangeLine"/>
        <w:tabs>
          <w:tab w:pos="567" w:val="left"/>
          <w:tab w:pos="1134" w:val="left"/>
          <w:tab w:pos="1247" w:val="left"/>
        </w:tabs>
        <w:shd w:val="clear" w:color="auto" w:fill="ecfdf0"/>
      </w:pPr>
      <w:r>
        <w:rPr>
          <w:color w:val="BFBFBF"/>
          <w:shd w:val="clear" w:color="auto" w:fill="#ddfbe6"/>
        </w:rPr>
        <w:tab/>
        <w:t>530</w:t>
        <w:tab/>
        <w:t>+</w:t>
        <w:tab/>
      </w:r>
      <w:r>
        <w:t>**Key oneM2M/MEC Components:**</w:t>
      </w:r>
    </w:p>
    <w:p>
      <w:pPr>
        <w:pStyle w:val="CodeChangeLine"/>
        <w:tabs>
          <w:tab w:pos="567" w:val="left"/>
          <w:tab w:pos="1134" w:val="left"/>
          <w:tab w:pos="1247" w:val="left"/>
        </w:tabs>
        <w:shd w:val="clear" w:color="auto" w:fill="ecfdf0"/>
      </w:pPr>
      <w:r>
        <w:rPr>
          <w:color w:val="BFBFBF"/>
          <w:shd w:val="clear" w:color="auto" w:fill="#ddfbe6"/>
        </w:rPr>
        <w:tab/>
        <w:t>531</w:t>
        <w:tab/>
        <w:t>+</w:t>
        <w:tab/>
      </w:r>
      <w:r/>
    </w:p>
    <w:p>
      <w:pPr>
        <w:pStyle w:val="CodeChangeLine"/>
        <w:tabs>
          <w:tab w:pos="567" w:val="left"/>
          <w:tab w:pos="1134" w:val="left"/>
          <w:tab w:pos="1247" w:val="left"/>
        </w:tabs>
        <w:shd w:val="clear" w:color="auto" w:fill="ecfdf0"/>
      </w:pPr>
      <w:r>
        <w:rPr>
          <w:color w:val="BFBFBF"/>
          <w:shd w:val="clear" w:color="auto" w:fill="#ddfbe6"/>
        </w:rPr>
        <w:tab/>
        <w:t>532</w:t>
        <w:tab/>
        <w:t>+</w:t>
        <w:tab/>
      </w:r>
      <w:r>
        <w:t>- MEC RNIS API (MEC 012)</w:t>
      </w:r>
    </w:p>
    <w:p>
      <w:pPr>
        <w:pStyle w:val="CodeChangeLine"/>
        <w:tabs>
          <w:tab w:pos="567" w:val="left"/>
          <w:tab w:pos="1134" w:val="left"/>
          <w:tab w:pos="1247" w:val="left"/>
        </w:tabs>
        <w:shd w:val="clear" w:color="auto" w:fill="ecfdf0"/>
      </w:pPr>
      <w:r>
        <w:rPr>
          <w:color w:val="BFBFBF"/>
          <w:shd w:val="clear" w:color="auto" w:fill="#ddfbe6"/>
        </w:rPr>
        <w:tab/>
        <w:t>533</w:t>
        <w:tab/>
        <w:t>+</w:t>
        <w:tab/>
      </w:r>
      <w:r>
        <w:t>- oneM2M AE with embedded policy or ML model</w:t>
      </w:r>
    </w:p>
    <w:p>
      <w:pPr>
        <w:pStyle w:val="CodeChangeLine"/>
        <w:tabs>
          <w:tab w:pos="567" w:val="left"/>
          <w:tab w:pos="1134" w:val="left"/>
          <w:tab w:pos="1247" w:val="left"/>
        </w:tabs>
        <w:shd w:val="clear" w:color="auto" w:fill="ecfdf0"/>
      </w:pPr>
      <w:r>
        <w:rPr>
          <w:color w:val="BFBFBF"/>
          <w:shd w:val="clear" w:color="auto" w:fill="#ddfbe6"/>
        </w:rPr>
        <w:tab/>
        <w:t>534</w:t>
        <w:tab/>
        <w:t>+</w:t>
        <w:tab/>
      </w:r>
      <w:r>
        <w:t>- Local `mgmtCmd` or `flexContainer` for decision logic</w:t>
      </w:r>
    </w:p>
    <w:p>
      <w:pPr>
        <w:pStyle w:val="CodeChangeLine"/>
        <w:tabs>
          <w:tab w:pos="567" w:val="left"/>
          <w:tab w:pos="1134" w:val="left"/>
          <w:tab w:pos="1247" w:val="left"/>
        </w:tabs>
        <w:shd w:val="clear" w:color="auto" w:fill="ecfdf0"/>
      </w:pPr>
      <w:r>
        <w:rPr>
          <w:color w:val="BFBFBF"/>
          <w:shd w:val="clear" w:color="auto" w:fill="#ddfbe6"/>
        </w:rPr>
        <w:tab/>
        <w:t>535</w:t>
        <w:tab/>
        <w:t>+</w:t>
        <w:tab/>
      </w:r>
      <w:r/>
    </w:p>
    <w:p>
      <w:pPr>
        <w:pStyle w:val="CodeChangeLine"/>
        <w:tabs>
          <w:tab w:pos="567" w:val="left"/>
          <w:tab w:pos="1134" w:val="left"/>
          <w:tab w:pos="1247" w:val="left"/>
        </w:tabs>
        <w:shd w:val="clear" w:color="auto" w:fill="ecfdf0"/>
      </w:pPr>
      <w:r>
        <w:rPr>
          <w:color w:val="BFBFBF"/>
          <w:shd w:val="clear" w:color="auto" w:fill="#ddfbe6"/>
        </w:rPr>
        <w:tab/>
        <w:t>536</w:t>
        <w:tab/>
        <w:t>+</w:t>
        <w:tab/>
      </w:r>
      <w:r/>
    </w:p>
    <w:p>
      <w:pPr>
        <w:pStyle w:val="CodeChangeLine"/>
        <w:tabs>
          <w:tab w:pos="567" w:val="left"/>
          <w:tab w:pos="1134" w:val="left"/>
          <w:tab w:pos="1247" w:val="left"/>
        </w:tabs>
        <w:shd w:val="clear" w:color="auto" w:fill="ecfdf0"/>
      </w:pPr>
      <w:r>
        <w:rPr>
          <w:color w:val="BFBFBF"/>
          <w:shd w:val="clear" w:color="auto" w:fill="#ddfbe6"/>
        </w:rPr>
        <w:tab/>
        <w:t>537</w:t>
        <w:tab/>
        <w:t>+</w:t>
        <w:tab/>
      </w:r>
      <w:r/>
    </w:p>
    <w:p>
      <w:pPr>
        <w:pStyle w:val="CodeChangeLine"/>
        <w:tabs>
          <w:tab w:pos="567" w:val="left"/>
          <w:tab w:pos="1134" w:val="left"/>
          <w:tab w:pos="1247" w:val="left"/>
        </w:tabs>
        <w:shd w:val="clear" w:color="auto" w:fill="ecfdf0"/>
      </w:pPr>
      <w:r>
        <w:rPr>
          <w:color w:val="BFBFBF"/>
          <w:shd w:val="clear" w:color="auto" w:fill="#ddfbe6"/>
        </w:rPr>
        <w:tab/>
        <w:t>538</w:t>
        <w:tab/>
        <w:t>+</w:t>
        <w:tab/>
      </w:r>
      <w:r>
        <w:t>### 7.2.1.5 Policy-Driven Handover (CMDH Integration)</w:t>
      </w:r>
    </w:p>
    <w:p>
      <w:pPr>
        <w:pStyle w:val="CodeChangeLine"/>
        <w:tabs>
          <w:tab w:pos="567" w:val="left"/>
          <w:tab w:pos="1134" w:val="left"/>
          <w:tab w:pos="1247" w:val="left"/>
        </w:tabs>
        <w:shd w:val="clear" w:color="auto" w:fill="ecfdf0"/>
      </w:pPr>
      <w:r>
        <w:rPr>
          <w:color w:val="BFBFBF"/>
          <w:shd w:val="clear" w:color="auto" w:fill="#ddfbe6"/>
        </w:rPr>
        <w:tab/>
        <w:t>539</w:t>
        <w:tab/>
        <w:t>+</w:t>
        <w:tab/>
      </w:r>
      <w:r/>
    </w:p>
    <w:p>
      <w:pPr>
        <w:pStyle w:val="CodeChangeLine"/>
        <w:tabs>
          <w:tab w:pos="567" w:val="left"/>
          <w:tab w:pos="1134" w:val="left"/>
          <w:tab w:pos="1247" w:val="left"/>
        </w:tabs>
        <w:shd w:val="clear" w:color="auto" w:fill="ecfdf0"/>
      </w:pPr>
      <w:r>
        <w:rPr>
          <w:color w:val="BFBFBF"/>
          <w:shd w:val="clear" w:color="auto" w:fill="#ddfbe6"/>
        </w:rPr>
        <w:tab/>
        <w:t>540</w:t>
        <w:tab/>
        <w:t>+</w:t>
        <w:tab/>
      </w:r>
      <w:r>
        <w:t>The oneM2M **Common Device Management and Handling (CMDH)** capability defines policy rules (`mgmtObj`, `policySet`) for QoS, power, and network selection. The MEC Orchestrator evaluates policies across platforms and triggers device migration accordingly.</w:t>
      </w:r>
    </w:p>
    <w:p>
      <w:pPr>
        <w:pStyle w:val="CodeChangeLine"/>
        <w:tabs>
          <w:tab w:pos="567" w:val="left"/>
          <w:tab w:pos="1134" w:val="left"/>
          <w:tab w:pos="1247" w:val="left"/>
        </w:tabs>
        <w:shd w:val="clear" w:color="auto" w:fill="ecfdf0"/>
      </w:pPr>
      <w:r>
        <w:rPr>
          <w:color w:val="BFBFBF"/>
          <w:shd w:val="clear" w:color="auto" w:fill="#ddfbe6"/>
        </w:rPr>
        <w:tab/>
        <w:t>541</w:t>
        <w:tab/>
        <w:t>+</w:t>
        <w:tab/>
      </w:r>
      <w:r/>
    </w:p>
    <w:p>
      <w:pPr>
        <w:pStyle w:val="CodeChangeLine"/>
        <w:tabs>
          <w:tab w:pos="567" w:val="left"/>
          <w:tab w:pos="1134" w:val="left"/>
          <w:tab w:pos="1247" w:val="left"/>
        </w:tabs>
        <w:shd w:val="clear" w:color="auto" w:fill="ecfdf0"/>
      </w:pPr>
      <w:r>
        <w:rPr>
          <w:color w:val="BFBFBF"/>
          <w:shd w:val="clear" w:color="auto" w:fill="#ddfbe6"/>
        </w:rPr>
        <w:tab/>
        <w:t>542</w:t>
        <w:tab/>
        <w:t>+</w:t>
        <w:tab/>
      </w:r>
      <w:r/>
    </w:p>
    <w:p>
      <w:pPr>
        <w:pStyle w:val="CodeChangeLine"/>
        <w:tabs>
          <w:tab w:pos="567" w:val="left"/>
          <w:tab w:pos="1134" w:val="left"/>
          <w:tab w:pos="1247" w:val="left"/>
        </w:tabs>
        <w:shd w:val="clear" w:color="auto" w:fill="ecfdf0"/>
      </w:pPr>
      <w:r>
        <w:rPr>
          <w:color w:val="BFBFBF"/>
          <w:shd w:val="clear" w:color="auto" w:fill="#ddfbe6"/>
        </w:rPr>
        <w:tab/>
        <w:t>543</w:t>
        <w:tab/>
        <w:t>+</w:t>
        <w:tab/>
      </w:r>
      <w:r>
        <w:t>![Fig 7.2.1.5-1](media/handover_7_2_1_5.png)</w:t>
      </w:r>
    </w:p>
    <w:p>
      <w:pPr>
        <w:pStyle w:val="CodeChangeLine"/>
        <w:tabs>
          <w:tab w:pos="567" w:val="left"/>
          <w:tab w:pos="1134" w:val="left"/>
          <w:tab w:pos="1247" w:val="left"/>
        </w:tabs>
        <w:shd w:val="clear" w:color="auto" w:fill="ecfdf0"/>
      </w:pPr>
      <w:r>
        <w:rPr>
          <w:color w:val="BFBFBF"/>
          <w:shd w:val="clear" w:color="auto" w:fill="#ddfbe6"/>
        </w:rPr>
        <w:tab/>
        <w:t>544</w:t>
        <w:tab/>
        <w:t>+</w:t>
        <w:tab/>
      </w:r>
      <w:r/>
    </w:p>
    <w:p>
      <w:pPr>
        <w:pStyle w:val="CodeChangeLine"/>
        <w:tabs>
          <w:tab w:pos="567" w:val="left"/>
          <w:tab w:pos="1134" w:val="left"/>
          <w:tab w:pos="1247" w:val="left"/>
        </w:tabs>
        <w:shd w:val="clear" w:color="auto" w:fill="ecfdf0"/>
      </w:pPr>
      <w:r>
        <w:rPr>
          <w:color w:val="BFBFBF"/>
          <w:shd w:val="clear" w:color="auto" w:fill="#ddfbe6"/>
        </w:rPr>
        <w:tab/>
        <w:t>545</w:t>
        <w:tab/>
        <w:t>+</w:t>
        <w:tab/>
      </w:r>
      <w:r>
        <w:t>**Fig 7.2.1.5-1 Policy-Driven Handover (CMDH Integration)**</w:t>
      </w:r>
    </w:p>
    <w:p>
      <w:pPr>
        <w:pStyle w:val="CodeChangeLine"/>
        <w:tabs>
          <w:tab w:pos="567" w:val="left"/>
          <w:tab w:pos="1134" w:val="left"/>
          <w:tab w:pos="1247" w:val="left"/>
        </w:tabs>
        <w:shd w:val="clear" w:color="auto" w:fill="ecfdf0"/>
      </w:pPr>
      <w:r>
        <w:rPr>
          <w:color w:val="BFBFBF"/>
          <w:shd w:val="clear" w:color="auto" w:fill="#ddfbe6"/>
        </w:rPr>
        <w:tab/>
        <w:t>546</w:t>
        <w:tab/>
        <w:t>+</w:t>
        <w:tab/>
      </w:r>
      <w:r/>
    </w:p>
    <w:p>
      <w:pPr>
        <w:pStyle w:val="CodeChangeLine"/>
        <w:tabs>
          <w:tab w:pos="567" w:val="left"/>
          <w:tab w:pos="1134" w:val="left"/>
          <w:tab w:pos="1247" w:val="left"/>
        </w:tabs>
        <w:shd w:val="clear" w:color="auto" w:fill="ecfdf0"/>
      </w:pPr>
      <w:r>
        <w:rPr>
          <w:color w:val="BFBFBF"/>
          <w:shd w:val="clear" w:color="auto" w:fill="#ddfbe6"/>
        </w:rPr>
        <w:tab/>
        <w:t>547</w:t>
        <w:tab/>
        <w:t>+</w:t>
        <w:tab/>
      </w:r>
      <w:r/>
    </w:p>
    <w:p>
      <w:pPr>
        <w:pStyle w:val="CodeChangeLine"/>
        <w:tabs>
          <w:tab w:pos="567" w:val="left"/>
          <w:tab w:pos="1134" w:val="left"/>
          <w:tab w:pos="1247" w:val="left"/>
        </w:tabs>
        <w:shd w:val="clear" w:color="auto" w:fill="ecfdf0"/>
      </w:pPr>
      <w:r>
        <w:rPr>
          <w:color w:val="BFBFBF"/>
          <w:shd w:val="clear" w:color="auto" w:fill="#ddfbe6"/>
        </w:rPr>
        <w:tab/>
        <w:t>548</w:t>
        <w:tab/>
        <w:t>+</w:t>
        <w:tab/>
      </w:r>
      <w:r>
        <w:t>**Key oneM2M/MEC Components:**</w:t>
      </w:r>
    </w:p>
    <w:p>
      <w:pPr>
        <w:pStyle w:val="CodeChangeLine"/>
        <w:tabs>
          <w:tab w:pos="567" w:val="left"/>
          <w:tab w:pos="1134" w:val="left"/>
          <w:tab w:pos="1247" w:val="left"/>
        </w:tabs>
        <w:shd w:val="clear" w:color="auto" w:fill="ecfdf0"/>
      </w:pPr>
      <w:r>
        <w:rPr>
          <w:color w:val="BFBFBF"/>
          <w:shd w:val="clear" w:color="auto" w:fill="#ddfbe6"/>
        </w:rPr>
        <w:tab/>
        <w:t>549</w:t>
        <w:tab/>
        <w:t>+</w:t>
        <w:tab/>
      </w:r>
      <w:r/>
    </w:p>
    <w:p>
      <w:pPr>
        <w:pStyle w:val="CodeChangeLine"/>
        <w:tabs>
          <w:tab w:pos="567" w:val="left"/>
          <w:tab w:pos="1134" w:val="left"/>
          <w:tab w:pos="1247" w:val="left"/>
        </w:tabs>
        <w:shd w:val="clear" w:color="auto" w:fill="ecfdf0"/>
      </w:pPr>
      <w:r>
        <w:rPr>
          <w:color w:val="BFBFBF"/>
          <w:shd w:val="clear" w:color="auto" w:fill="#ddfbe6"/>
        </w:rPr>
        <w:tab/>
        <w:t>550</w:t>
        <w:tab/>
        <w:t>+</w:t>
        <w:tab/>
      </w:r>
      <w:r>
        <w:t>- oneM2M CMDH `mgmtObj` for network policy</w:t>
      </w:r>
    </w:p>
    <w:p>
      <w:pPr>
        <w:pStyle w:val="CodeChangeLine"/>
        <w:tabs>
          <w:tab w:pos="567" w:val="left"/>
          <w:tab w:pos="1134" w:val="left"/>
          <w:tab w:pos="1247" w:val="left"/>
        </w:tabs>
        <w:shd w:val="clear" w:color="auto" w:fill="ecfdf0"/>
      </w:pPr>
      <w:r>
        <w:rPr>
          <w:color w:val="BFBFBF"/>
          <w:shd w:val="clear" w:color="auto" w:fill="#ddfbe6"/>
        </w:rPr>
        <w:tab/>
        <w:t>551</w:t>
        <w:tab/>
        <w:t>+</w:t>
        <w:tab/>
      </w:r>
      <w:r>
        <w:t>- MEC Application lifecycle, rules and requirements management (MEC 010-02)</w:t>
      </w:r>
    </w:p>
    <w:p>
      <w:pPr>
        <w:pStyle w:val="CodeChangeLine"/>
        <w:tabs>
          <w:tab w:pos="567" w:val="left"/>
          <w:tab w:pos="1134" w:val="left"/>
          <w:tab w:pos="1247" w:val="left"/>
        </w:tabs>
        <w:shd w:val="clear" w:color="auto" w:fill="ecfdf0"/>
      </w:pPr>
      <w:r>
        <w:rPr>
          <w:color w:val="BFBFBF"/>
          <w:shd w:val="clear" w:color="auto" w:fill="#ddfbe6"/>
        </w:rPr>
        <w:tab/>
        <w:t>552</w:t>
        <w:tab/>
        <w:t>+</w:t>
        <w:tab/>
      </w:r>
      <w:r>
        <w:t>- Policy synchronization via IN-CSE</w:t>
      </w:r>
    </w:p>
    <w:p>
      <w:pPr>
        <w:pStyle w:val="CodeChangeLine"/>
        <w:tabs>
          <w:tab w:pos="567" w:val="left"/>
          <w:tab w:pos="1134" w:val="left"/>
          <w:tab w:pos="1247" w:val="left"/>
        </w:tabs>
        <w:shd w:val="clear" w:color="auto" w:fill="ecfdf0"/>
      </w:pPr>
      <w:r>
        <w:rPr>
          <w:color w:val="BFBFBF"/>
          <w:shd w:val="clear" w:color="auto" w:fill="#ddfbe6"/>
        </w:rPr>
        <w:tab/>
        <w:t>553</w:t>
        <w:tab/>
        <w:t>+</w:t>
        <w:tab/>
      </w:r>
      <w:r/>
    </w:p>
    <w:p>
      <w:pPr>
        <w:pStyle w:val="CodeChangeLine"/>
        <w:tabs>
          <w:tab w:pos="567" w:val="left"/>
          <w:tab w:pos="1134" w:val="left"/>
          <w:tab w:pos="1247" w:val="left"/>
        </w:tabs>
        <w:shd w:val="clear" w:color="auto" w:fill="ecfdf0"/>
      </w:pPr>
      <w:r>
        <w:rPr>
          <w:color w:val="BFBFBF"/>
          <w:shd w:val="clear" w:color="auto" w:fill="#ddfbe6"/>
        </w:rPr>
        <w:tab/>
        <w:t>554</w:t>
        <w:tab/>
        <w:t>+</w:t>
        <w:tab/>
      </w:r>
      <w:r/>
    </w:p>
    <w:p>
      <w:pPr>
        <w:pStyle w:val="CodeChangeLine"/>
        <w:tabs>
          <w:tab w:pos="567" w:val="left"/>
          <w:tab w:pos="1134" w:val="left"/>
          <w:tab w:pos="1247" w:val="left"/>
        </w:tabs>
        <w:shd w:val="clear" w:color="auto" w:fill="ecfdf0"/>
      </w:pPr>
      <w:r>
        <w:rPr>
          <w:color w:val="BFBFBF"/>
          <w:shd w:val="clear" w:color="auto" w:fill="#ddfbe6"/>
        </w:rPr>
        <w:tab/>
        <w:t>555</w:t>
        <w:tab/>
        <w:t>+</w:t>
        <w:tab/>
      </w:r>
      <w:r/>
    </w:p>
    <w:p>
      <w:pPr>
        <w:pStyle w:val="CodeChangeLine"/>
        <w:tabs>
          <w:tab w:pos="567" w:val="left"/>
          <w:tab w:pos="1134" w:val="left"/>
          <w:tab w:pos="1247" w:val="left"/>
        </w:tabs>
      </w:pPr>
      <w:r>
        <w:rPr>
          <w:color w:val="BFBFBF"/>
          <w:shd w:val="clear" w:color="auto" w:fill="fafafa"/>
        </w:rPr>
        <w:t>476</w:t>
        <w:tab/>
        <w:t>556</w:t>
        <w:tab/>
        <w:tab/>
      </w:r>
      <w:r/>
    </w:p>
    <w:p>
      <w:pPr>
        <w:pStyle w:val="CodeChangeLine"/>
        <w:tabs>
          <w:tab w:pos="567" w:val="left"/>
          <w:tab w:pos="1134" w:val="left"/>
          <w:tab w:pos="1247" w:val="left"/>
        </w:tabs>
      </w:pPr>
      <w:r>
        <w:rPr>
          <w:color w:val="BFBFBF"/>
          <w:shd w:val="clear" w:color="auto" w:fill="fafafa"/>
        </w:rPr>
        <w:t>477</w:t>
        <w:tab/>
        <w:t>557</w:t>
        <w:tab/>
        <w:tab/>
      </w:r>
      <w:r>
        <w:t>### 7.2.2 Feature Gap Analysis</w:t>
      </w:r>
    </w:p>
    <w:p>
      <w:pPr>
        <w:pStyle w:val="CodeChangeLine"/>
        <w:tabs>
          <w:tab w:pos="567" w:val="left"/>
          <w:tab w:pos="1134" w:val="left"/>
          <w:tab w:pos="1247" w:val="left"/>
        </w:tabs>
        <w:shd w:val="clear" w:color="auto" w:fill="ecfdf0"/>
      </w:pPr>
      <w:r>
        <w:rPr>
          <w:color w:val="BFBFBF"/>
          <w:shd w:val="clear" w:color="auto" w:fill="#ddfbe6"/>
        </w:rPr>
        <w:tab/>
        <w:t>558</w:t>
        <w:tab/>
        <w:t>+</w:t>
        <w:tab/>
      </w:r>
      <w:r>
        <w:t xml:space="preserve">#### 7.2.2.0 Introduction </w:t>
      </w:r>
    </w:p>
    <w:p>
      <w:pPr>
        <w:pStyle w:val="CodeChangeLine"/>
        <w:tabs>
          <w:tab w:pos="567" w:val="left"/>
          <w:tab w:pos="1134" w:val="left"/>
          <w:tab w:pos="1247" w:val="left"/>
        </w:tabs>
        <w:shd w:val="clear" w:color="auto" w:fill="ecfdf0"/>
      </w:pPr>
      <w:r>
        <w:rPr>
          <w:color w:val="BFBFBF"/>
          <w:shd w:val="clear" w:color="auto" w:fill="#ddfbe6"/>
        </w:rPr>
        <w:tab/>
        <w:t>559</w:t>
        <w:tab/>
        <w:t>+</w:t>
        <w:tab/>
      </w:r>
      <w:r>
        <w:t>oneM2M systems are increasingly deployed in distributed environments where Application Entities (AEs) interact with multiple MN-CSEs across edge and core domains. In such environments, changes in execution context may occur due to user or device mobility, service relocation, operational policy, or infrastructure dynamics. Mobility events—such as a device moving between coverage areas—may result in a transition of the serving MN-CSE for an AE while the application itself remains logically active within the same oneM2M system.</w:t>
      </w:r>
    </w:p>
    <w:p>
      <w:pPr>
        <w:pStyle w:val="CodeChangeLine"/>
        <w:tabs>
          <w:tab w:pos="567" w:val="left"/>
          <w:tab w:pos="1134" w:val="left"/>
          <w:tab w:pos="1247" w:val="left"/>
        </w:tabs>
        <w:shd w:val="clear" w:color="auto" w:fill="ecfdf0"/>
      </w:pPr>
      <w:r>
        <w:rPr>
          <w:color w:val="BFBFBF"/>
          <w:shd w:val="clear" w:color="auto" w:fill="#ddfbe6"/>
        </w:rPr>
        <w:tab/>
        <w:t>560</w:t>
        <w:tab/>
        <w:t>+</w:t>
        <w:tab/>
      </w:r>
      <w:r/>
    </w:p>
    <w:p>
      <w:pPr>
        <w:pStyle w:val="CodeChangeLine"/>
        <w:tabs>
          <w:tab w:pos="567" w:val="left"/>
          <w:tab w:pos="1134" w:val="left"/>
          <w:tab w:pos="1247" w:val="left"/>
        </w:tabs>
        <w:shd w:val="clear" w:color="auto" w:fill="ecfdf0"/>
      </w:pPr>
      <w:r>
        <w:rPr>
          <w:color w:val="BFBFBF"/>
          <w:shd w:val="clear" w:color="auto" w:fill="#ddfbe6"/>
        </w:rPr>
        <w:tab/>
        <w:t>561</w:t>
        <w:tab/>
        <w:t>+</w:t>
        <w:tab/>
      </w:r>
      <w:r>
        <w:t>From a mobility perspective, context handover reflects a change in the serving edge environment rather than a change in application intent or identity. While external systems, such as MEC platforms, may detect and signal mobility-related context changes (e.g., changes in location, serving zone, or execution host), current oneM2M specifications primarily model registration, lifecycle, and resource management as static relationships bound to a single serving CSE. The specifications do not explicitly address how mobility-driven changes in serving context should be represented within the oneM2M system.</w:t>
      </w:r>
    </w:p>
    <w:p>
      <w:pPr>
        <w:pStyle w:val="CodeChangeLine"/>
        <w:tabs>
          <w:tab w:pos="567" w:val="left"/>
          <w:tab w:pos="1134" w:val="left"/>
          <w:tab w:pos="1247" w:val="left"/>
        </w:tabs>
        <w:shd w:val="clear" w:color="auto" w:fill="ecfdf0"/>
      </w:pPr>
      <w:r>
        <w:rPr>
          <w:color w:val="BFBFBF"/>
          <w:shd w:val="clear" w:color="auto" w:fill="#ddfbe6"/>
        </w:rPr>
        <w:tab/>
        <w:t>562</w:t>
        <w:tab/>
        <w:t>+</w:t>
        <w:tab/>
      </w:r>
      <w:r/>
    </w:p>
    <w:p>
      <w:pPr>
        <w:pStyle w:val="CodeChangeLine"/>
        <w:tabs>
          <w:tab w:pos="567" w:val="left"/>
          <w:tab w:pos="1134" w:val="left"/>
          <w:tab w:pos="1247" w:val="left"/>
        </w:tabs>
        <w:shd w:val="clear" w:color="auto" w:fill="ecfdf0"/>
      </w:pPr>
      <w:r>
        <w:rPr>
          <w:color w:val="BFBFBF"/>
          <w:shd w:val="clear" w:color="auto" w:fill="#ddfbe6"/>
        </w:rPr>
        <w:tab/>
        <w:t>563</w:t>
        <w:tab/>
        <w:t>+</w:t>
        <w:tab/>
      </w:r>
      <w:r>
        <w:t>As a result, mobility-induced context handover introduces ambiguity in how oneM2M systems are expected to manage AE identity continuity, resource state, request routing, and service interactions across MN-CSE boundaries. Without standardized semantics linking mobility events to oneM2M lifecycle behavior, implementations rely on external orchestration or application-specific logic to respond to context changes, leading to inconsistent behavior across deployments.</w:t>
      </w:r>
    </w:p>
    <w:p>
      <w:pPr>
        <w:pStyle w:val="CodeChangeLine"/>
        <w:tabs>
          <w:tab w:pos="567" w:val="left"/>
          <w:tab w:pos="1134" w:val="left"/>
          <w:tab w:pos="1247" w:val="left"/>
        </w:tabs>
        <w:shd w:val="clear" w:color="auto" w:fill="ecfdf0"/>
      </w:pPr>
      <w:r>
        <w:rPr>
          <w:color w:val="BFBFBF"/>
          <w:shd w:val="clear" w:color="auto" w:fill="#ddfbe6"/>
        </w:rPr>
        <w:tab/>
        <w:t>564</w:t>
        <w:tab/>
        <w:t>+</w:t>
        <w:tab/>
      </w:r>
      <w:r/>
    </w:p>
    <w:p>
      <w:pPr>
        <w:pStyle w:val="CodeChangeLine"/>
        <w:tabs>
          <w:tab w:pos="567" w:val="left"/>
          <w:tab w:pos="1134" w:val="left"/>
          <w:tab w:pos="1247" w:val="left"/>
        </w:tabs>
        <w:shd w:val="clear" w:color="auto" w:fill="ecfdf0"/>
      </w:pPr>
      <w:r>
        <w:rPr>
          <w:color w:val="BFBFBF"/>
          <w:shd w:val="clear" w:color="auto" w:fill="#ddfbe6"/>
        </w:rPr>
        <w:tab/>
        <w:t>565</w:t>
        <w:tab/>
        <w:t>+</w:t>
        <w:tab/>
      </w:r>
      <w:r>
        <w:t>This lack of explicit mobility-aware context handover support limits the ability of oneM2M systems to align with edge computing environments where mobility, proximity, and dynamic service placement are fundamental. A clear articulation of the problem is therefore required to understand how mobility-related context changes should relate to oneM2M lifecycle concepts, resource relationships, and system behavior, independent of specific MEC APIs or orchestration mechanisms. These considerations are explored in the following subsections.</w:t>
      </w:r>
    </w:p>
    <w:p>
      <w:pPr>
        <w:pStyle w:val="CodeChangeLine"/>
        <w:tabs>
          <w:tab w:pos="567" w:val="left"/>
          <w:tab w:pos="1134" w:val="left"/>
          <w:tab w:pos="1247" w:val="left"/>
        </w:tabs>
        <w:shd w:val="clear" w:color="auto" w:fill="ecfdf0"/>
      </w:pPr>
      <w:r>
        <w:rPr>
          <w:color w:val="BFBFBF"/>
          <w:shd w:val="clear" w:color="auto" w:fill="#ddfbe6"/>
        </w:rPr>
        <w:tab/>
        <w:t>566</w:t>
        <w:tab/>
        <w:t>+</w:t>
        <w:tab/>
      </w:r>
      <w:r/>
    </w:p>
    <w:p>
      <w:pPr>
        <w:pStyle w:val="CodeChangeLine"/>
        <w:tabs>
          <w:tab w:pos="567" w:val="left"/>
          <w:tab w:pos="1134" w:val="left"/>
          <w:tab w:pos="1247" w:val="left"/>
        </w:tabs>
        <w:shd w:val="clear" w:color="auto" w:fill="ecfdf0"/>
      </w:pPr>
      <w:r>
        <w:rPr>
          <w:color w:val="BFBFBF"/>
          <w:shd w:val="clear" w:color="auto" w:fill="#ddfbe6"/>
        </w:rPr>
        <w:tab/>
        <w:t>567</w:t>
        <w:tab/>
        <w:t>+</w:t>
        <w:tab/>
      </w:r>
      <w:r/>
    </w:p>
    <w:p>
      <w:pPr>
        <w:pStyle w:val="CodeChangeLine"/>
        <w:tabs>
          <w:tab w:pos="567" w:val="left"/>
          <w:tab w:pos="1134" w:val="left"/>
          <w:tab w:pos="1247" w:val="left"/>
        </w:tabs>
        <w:shd w:val="clear" w:color="auto" w:fill="ecfdf0"/>
      </w:pPr>
      <w:r>
        <w:rPr>
          <w:color w:val="BFBFBF"/>
          <w:shd w:val="clear" w:color="auto" w:fill="#ddfbe6"/>
        </w:rPr>
        <w:tab/>
        <w:t>568</w:t>
        <w:tab/>
        <w:t>+</w:t>
        <w:tab/>
      </w:r>
      <w:r>
        <w:t>#### 7.2.2.1 Absence of Mobility-Aware AE Registration Semantics</w:t>
      </w:r>
    </w:p>
    <w:p>
      <w:pPr>
        <w:pStyle w:val="CodeChangeLine"/>
        <w:tabs>
          <w:tab w:pos="567" w:val="left"/>
          <w:tab w:pos="1134" w:val="left"/>
          <w:tab w:pos="1247" w:val="left"/>
        </w:tabs>
        <w:shd w:val="clear" w:color="auto" w:fill="ecfdf0"/>
      </w:pPr>
      <w:r>
        <w:rPr>
          <w:color w:val="BFBFBF"/>
          <w:shd w:val="clear" w:color="auto" w:fill="#ddfbe6"/>
        </w:rPr>
        <w:tab/>
        <w:t>569</w:t>
        <w:tab/>
        <w:t>+</w:t>
        <w:tab/>
      </w:r>
      <w:r/>
    </w:p>
    <w:p>
      <w:pPr>
        <w:pStyle w:val="CodeChangeLine"/>
        <w:tabs>
          <w:tab w:pos="567" w:val="left"/>
          <w:tab w:pos="1134" w:val="left"/>
          <w:tab w:pos="1247" w:val="left"/>
        </w:tabs>
        <w:shd w:val="clear" w:color="auto" w:fill="ecfdf0"/>
      </w:pPr>
      <w:r>
        <w:rPr>
          <w:color w:val="BFBFBF"/>
          <w:shd w:val="clear" w:color="auto" w:fill="#ddfbe6"/>
        </w:rPr>
        <w:tab/>
        <w:t>570</w:t>
        <w:tab/>
        <w:t>+</w:t>
        <w:tab/>
      </w:r>
      <w:r>
        <w:t>Gap boundary: This subclause focuses on AE identity and lifecycle continuity semantics during MN-CSE change; detailed state/context preservation is covered in 7.2.2.2.</w:t>
      </w:r>
    </w:p>
    <w:p>
      <w:pPr>
        <w:pStyle w:val="CodeChangeLine"/>
        <w:tabs>
          <w:tab w:pos="567" w:val="left"/>
          <w:tab w:pos="1134" w:val="left"/>
          <w:tab w:pos="1247" w:val="left"/>
        </w:tabs>
        <w:shd w:val="clear" w:color="auto" w:fill="ecfdf0"/>
      </w:pPr>
      <w:r>
        <w:rPr>
          <w:color w:val="BFBFBF"/>
          <w:shd w:val="clear" w:color="auto" w:fill="#ddfbe6"/>
        </w:rPr>
        <w:tab/>
        <w:t>571</w:t>
        <w:tab/>
        <w:t>+</w:t>
        <w:tab/>
      </w:r>
      <w:r/>
    </w:p>
    <w:p>
      <w:pPr>
        <w:pStyle w:val="CodeChangeLine"/>
        <w:tabs>
          <w:tab w:pos="567" w:val="left"/>
          <w:tab w:pos="1134" w:val="left"/>
          <w:tab w:pos="1247" w:val="left"/>
        </w:tabs>
        <w:shd w:val="clear" w:color="auto" w:fill="ecfdf0"/>
      </w:pPr>
      <w:r>
        <w:rPr>
          <w:color w:val="BFBFBF"/>
          <w:shd w:val="clear" w:color="auto" w:fill="#ddfbe6"/>
        </w:rPr>
        <w:tab/>
        <w:t>572</w:t>
        <w:tab/>
        <w:t>+</w:t>
        <w:tab/>
      </w:r>
      <w:r>
        <w:t>In a core-network-initiated, MEC-assisted handover scenario, the network detects UE mobility events and redirects service anchoring to a different MN-CSE within the MEC domain.</w:t>
      </w:r>
    </w:p>
    <w:p>
      <w:pPr>
        <w:pStyle w:val="CodeChangeLine"/>
        <w:tabs>
          <w:tab w:pos="567" w:val="left"/>
          <w:tab w:pos="1134" w:val="left"/>
          <w:tab w:pos="1247" w:val="left"/>
        </w:tabs>
        <w:shd w:val="clear" w:color="auto" w:fill="ecfdf0"/>
      </w:pPr>
      <w:r>
        <w:rPr>
          <w:color w:val="BFBFBF"/>
          <w:shd w:val="clear" w:color="auto" w:fill="#ddfbe6"/>
        </w:rPr>
        <w:tab/>
        <w:t>573</w:t>
        <w:tab/>
        <w:t>+</w:t>
        <w:tab/>
      </w:r>
      <w:r/>
    </w:p>
    <w:p>
      <w:pPr>
        <w:pStyle w:val="CodeChangeLine"/>
        <w:tabs>
          <w:tab w:pos="567" w:val="left"/>
          <w:tab w:pos="1134" w:val="left"/>
          <w:tab w:pos="1247" w:val="left"/>
        </w:tabs>
        <w:shd w:val="clear" w:color="auto" w:fill="ecfdf0"/>
      </w:pPr>
      <w:r>
        <w:rPr>
          <w:color w:val="BFBFBF"/>
          <w:shd w:val="clear" w:color="auto" w:fill="#ddfbe6"/>
        </w:rPr>
        <w:tab/>
        <w:t>574</w:t>
        <w:tab/>
        <w:t>+</w:t>
        <w:tab/>
      </w:r>
      <w:r>
        <w:t>When mobility occurs, current implementations rely on:</w:t>
      </w:r>
    </w:p>
    <w:p>
      <w:pPr>
        <w:pStyle w:val="CodeChangeLine"/>
        <w:tabs>
          <w:tab w:pos="567" w:val="left"/>
          <w:tab w:pos="1134" w:val="left"/>
          <w:tab w:pos="1247" w:val="left"/>
        </w:tabs>
        <w:shd w:val="clear" w:color="auto" w:fill="ecfdf0"/>
      </w:pPr>
      <w:r>
        <w:rPr>
          <w:color w:val="BFBFBF"/>
          <w:shd w:val="clear" w:color="auto" w:fill="#ddfbe6"/>
        </w:rPr>
        <w:tab/>
        <w:t>575</w:t>
        <w:tab/>
        <w:t>+</w:t>
        <w:tab/>
      </w:r>
      <w:r>
        <w:t>- Mobility notification of UE located in MEC managed zone</w:t>
      </w:r>
    </w:p>
    <w:p>
      <w:pPr>
        <w:pStyle w:val="CodeChangeLine"/>
        <w:tabs>
          <w:tab w:pos="567" w:val="left"/>
          <w:tab w:pos="1134" w:val="left"/>
          <w:tab w:pos="1247" w:val="left"/>
        </w:tabs>
        <w:shd w:val="clear" w:color="auto" w:fill="ecfdf0"/>
      </w:pPr>
      <w:r>
        <w:rPr>
          <w:color w:val="BFBFBF"/>
          <w:shd w:val="clear" w:color="auto" w:fill="#ddfbe6"/>
        </w:rPr>
        <w:tab/>
        <w:t>576</w:t>
        <w:tab/>
        <w:t>+</w:t>
        <w:tab/>
      </w:r>
      <w:r>
        <w:t xml:space="preserve">- Deregistration of the `AE` from the source MN-CSE  </w:t>
      </w:r>
    </w:p>
    <w:p>
      <w:pPr>
        <w:pStyle w:val="CodeChangeLine"/>
        <w:tabs>
          <w:tab w:pos="567" w:val="left"/>
          <w:tab w:pos="1134" w:val="left"/>
          <w:tab w:pos="1247" w:val="left"/>
        </w:tabs>
        <w:shd w:val="clear" w:color="auto" w:fill="ecfdf0"/>
      </w:pPr>
      <w:r>
        <w:rPr>
          <w:color w:val="BFBFBF"/>
          <w:shd w:val="clear" w:color="auto" w:fill="#ddfbe6"/>
        </w:rPr>
        <w:tab/>
        <w:t>577</w:t>
        <w:tab/>
        <w:t>+</w:t>
        <w:tab/>
      </w:r>
      <w:r>
        <w:t>- Registration of a new `AE` instance at the target MN-CSE</w:t>
      </w:r>
    </w:p>
    <w:p>
      <w:pPr>
        <w:pStyle w:val="CodeChangeLine"/>
        <w:tabs>
          <w:tab w:pos="567" w:val="left"/>
          <w:tab w:pos="1134" w:val="left"/>
          <w:tab w:pos="1247" w:val="left"/>
        </w:tabs>
        <w:shd w:val="clear" w:color="auto" w:fill="ecfdf0"/>
      </w:pPr>
      <w:r>
        <w:rPr>
          <w:color w:val="BFBFBF"/>
          <w:shd w:val="clear" w:color="auto" w:fill="#ddfbe6"/>
        </w:rPr>
        <w:tab/>
        <w:t>578</w:t>
        <w:tab/>
        <w:t>+</w:t>
        <w:tab/>
      </w:r>
      <w:r/>
    </w:p>
    <w:p>
      <w:pPr>
        <w:pStyle w:val="CodeChangeLine"/>
        <w:tabs>
          <w:tab w:pos="567" w:val="left"/>
          <w:tab w:pos="1134" w:val="left"/>
          <w:tab w:pos="1247" w:val="left"/>
        </w:tabs>
        <w:shd w:val="clear" w:color="auto" w:fill="ecfdf0"/>
      </w:pPr>
      <w:r>
        <w:rPr>
          <w:color w:val="BFBFBF"/>
          <w:shd w:val="clear" w:color="auto" w:fill="#ddfbe6"/>
        </w:rPr>
        <w:tab/>
        <w:t>579</w:t>
        <w:tab/>
        <w:t>+</w:t>
        <w:tab/>
      </w:r>
      <w:r>
        <w:t>![Fig 7.2.2.1-1](media/handover_7_2_2_1.png)</w:t>
      </w:r>
    </w:p>
    <w:p>
      <w:pPr>
        <w:pStyle w:val="CodeChangeLine"/>
        <w:tabs>
          <w:tab w:pos="567" w:val="left"/>
          <w:tab w:pos="1134" w:val="left"/>
          <w:tab w:pos="1247" w:val="left"/>
        </w:tabs>
        <w:shd w:val="clear" w:color="auto" w:fill="ecfdf0"/>
      </w:pPr>
      <w:r>
        <w:rPr>
          <w:color w:val="BFBFBF"/>
          <w:shd w:val="clear" w:color="auto" w:fill="#ddfbe6"/>
        </w:rPr>
        <w:tab/>
        <w:t>580</w:t>
        <w:tab/>
        <w:t>+</w:t>
        <w:tab/>
      </w:r>
      <w:r/>
    </w:p>
    <w:p>
      <w:pPr>
        <w:pStyle w:val="CodeChangeLine"/>
        <w:tabs>
          <w:tab w:pos="567" w:val="left"/>
          <w:tab w:pos="1134" w:val="left"/>
          <w:tab w:pos="1247" w:val="left"/>
        </w:tabs>
        <w:shd w:val="clear" w:color="auto" w:fill="ecfdf0"/>
      </w:pPr>
      <w:r>
        <w:rPr>
          <w:color w:val="BFBFBF"/>
          <w:shd w:val="clear" w:color="auto" w:fill="#ddfbe6"/>
        </w:rPr>
        <w:tab/>
        <w:t>581</w:t>
        <w:tab/>
        <w:t>+</w:t>
        <w:tab/>
      </w:r>
      <w:r>
        <w:t>**Fig 7.2.2.1-1 Mobility-Aware AE Registration Semantics**</w:t>
      </w:r>
    </w:p>
    <w:p>
      <w:pPr>
        <w:pStyle w:val="CodeChangeLine"/>
        <w:tabs>
          <w:tab w:pos="567" w:val="left"/>
          <w:tab w:pos="1134" w:val="left"/>
          <w:tab w:pos="1247" w:val="left"/>
        </w:tabs>
        <w:shd w:val="clear" w:color="auto" w:fill="ecfdf0"/>
      </w:pPr>
      <w:r>
        <w:rPr>
          <w:color w:val="BFBFBF"/>
          <w:shd w:val="clear" w:color="auto" w:fill="#ddfbe6"/>
        </w:rPr>
        <w:tab/>
        <w:t>582</w:t>
        <w:tab/>
        <w:t>+</w:t>
        <w:tab/>
      </w:r>
      <w:r/>
    </w:p>
    <w:p>
      <w:pPr>
        <w:pStyle w:val="CodeChangeLine"/>
        <w:tabs>
          <w:tab w:pos="567" w:val="left"/>
          <w:tab w:pos="1134" w:val="left"/>
          <w:tab w:pos="1247" w:val="left"/>
        </w:tabs>
        <w:shd w:val="clear" w:color="auto" w:fill="ecfdf0"/>
      </w:pPr>
      <w:r>
        <w:rPr>
          <w:color w:val="BFBFBF"/>
          <w:shd w:val="clear" w:color="auto" w:fill="#ddfbe6"/>
        </w:rPr>
        <w:tab/>
        <w:t>583</w:t>
        <w:tab/>
        <w:t>+</w:t>
        <w:tab/>
      </w:r>
      <w:r/>
    </w:p>
    <w:p>
      <w:pPr>
        <w:pStyle w:val="CodeChangeLine"/>
        <w:tabs>
          <w:tab w:pos="567" w:val="left"/>
          <w:tab w:pos="1134" w:val="left"/>
          <w:tab w:pos="1247" w:val="left"/>
        </w:tabs>
        <w:shd w:val="clear" w:color="auto" w:fill="ecfdf0"/>
      </w:pPr>
      <w:r>
        <w:rPr>
          <w:color w:val="BFBFBF"/>
          <w:shd w:val="clear" w:color="auto" w:fill="#ddfbe6"/>
        </w:rPr>
        <w:tab/>
        <w:t>584</w:t>
        <w:tab/>
        <w:t>+</w:t>
        <w:tab/>
      </w:r>
      <w:r>
        <w:t>The oneM2M specifications do not define registration semantics that account for UE mobility across MN-CSE instances. There is no standardized distinction between:</w:t>
      </w:r>
    </w:p>
    <w:p>
      <w:pPr>
        <w:pStyle w:val="CodeChangeLine"/>
        <w:tabs>
          <w:tab w:pos="567" w:val="left"/>
          <w:tab w:pos="1134" w:val="left"/>
          <w:tab w:pos="1247" w:val="left"/>
        </w:tabs>
        <w:shd w:val="clear" w:color="auto" w:fill="ecfdf0"/>
      </w:pPr>
      <w:r>
        <w:rPr>
          <w:color w:val="BFBFBF"/>
          <w:shd w:val="clear" w:color="auto" w:fill="#ddfbe6"/>
        </w:rPr>
        <w:tab/>
        <w:t>585</w:t>
        <w:tab/>
        <w:t>+</w:t>
        <w:tab/>
      </w:r>
      <w:r/>
    </w:p>
    <w:p>
      <w:pPr>
        <w:pStyle w:val="CodeChangeLine"/>
        <w:tabs>
          <w:tab w:pos="567" w:val="left"/>
          <w:tab w:pos="1134" w:val="left"/>
          <w:tab w:pos="1247" w:val="left"/>
        </w:tabs>
        <w:shd w:val="clear" w:color="auto" w:fill="ecfdf0"/>
      </w:pPr>
      <w:r>
        <w:rPr>
          <w:color w:val="BFBFBF"/>
          <w:shd w:val="clear" w:color="auto" w:fill="#ddfbe6"/>
        </w:rPr>
        <w:tab/>
        <w:t>586</w:t>
        <w:tab/>
        <w:t>+</w:t>
        <w:tab/>
      </w:r>
      <w:r>
        <w:t>- Permanent termination of an `AE`, and</w:t>
      </w:r>
    </w:p>
    <w:p>
      <w:pPr>
        <w:pStyle w:val="CodeChangeLine"/>
        <w:tabs>
          <w:tab w:pos="567" w:val="left"/>
          <w:tab w:pos="1134" w:val="left"/>
          <w:tab w:pos="1247" w:val="left"/>
        </w:tabs>
        <w:shd w:val="clear" w:color="auto" w:fill="ecfdf0"/>
      </w:pPr>
      <w:r>
        <w:rPr>
          <w:color w:val="BFBFBF"/>
          <w:shd w:val="clear" w:color="auto" w:fill="#ddfbe6"/>
        </w:rPr>
        <w:tab/>
        <w:t>587</w:t>
        <w:tab/>
        <w:t>+</w:t>
        <w:tab/>
      </w:r>
      <w:r>
        <w:t>- A change in the `AE` serving the MN-CSE due to mobility.</w:t>
      </w:r>
    </w:p>
    <w:p>
      <w:pPr>
        <w:pStyle w:val="CodeChangeLine"/>
        <w:tabs>
          <w:tab w:pos="567" w:val="left"/>
          <w:tab w:pos="1134" w:val="left"/>
          <w:tab w:pos="1247" w:val="left"/>
        </w:tabs>
        <w:shd w:val="clear" w:color="auto" w:fill="ecfdf0"/>
      </w:pPr>
      <w:r>
        <w:rPr>
          <w:color w:val="BFBFBF"/>
          <w:shd w:val="clear" w:color="auto" w:fill="#ddfbe6"/>
        </w:rPr>
        <w:tab/>
        <w:t>588</w:t>
        <w:tab/>
        <w:t>+</w:t>
        <w:tab/>
      </w:r>
      <w:r/>
    </w:p>
    <w:p>
      <w:pPr>
        <w:pStyle w:val="CodeChangeLine"/>
        <w:tabs>
          <w:tab w:pos="567" w:val="left"/>
          <w:tab w:pos="1134" w:val="left"/>
          <w:tab w:pos="1247" w:val="left"/>
        </w:tabs>
        <w:shd w:val="clear" w:color="auto" w:fill="ecfdf0"/>
      </w:pPr>
      <w:r>
        <w:rPr>
          <w:color w:val="BFBFBF"/>
          <w:shd w:val="clear" w:color="auto" w:fill="#ddfbe6"/>
        </w:rPr>
        <w:tab/>
        <w:t>589</w:t>
        <w:tab/>
        <w:t>+</w:t>
        <w:tab/>
      </w:r>
      <w:r>
        <w:t>Consequently, an `AE` cannot be treated as a logically continuous entity when its point of attachment changes within the oneM2M system. As a result:</w:t>
      </w:r>
    </w:p>
    <w:p>
      <w:pPr>
        <w:pStyle w:val="CodeChangeLine"/>
        <w:tabs>
          <w:tab w:pos="567" w:val="left"/>
          <w:tab w:pos="1134" w:val="left"/>
          <w:tab w:pos="1247" w:val="left"/>
        </w:tabs>
        <w:shd w:val="clear" w:color="auto" w:fill="ecfdf0"/>
      </w:pPr>
      <w:r>
        <w:rPr>
          <w:color w:val="BFBFBF"/>
          <w:shd w:val="clear" w:color="auto" w:fill="#ddfbe6"/>
        </w:rPr>
        <w:tab/>
        <w:t>590</w:t>
        <w:tab/>
        <w:t>+</w:t>
        <w:tab/>
      </w:r>
      <w:r/>
    </w:p>
    <w:p>
      <w:pPr>
        <w:pStyle w:val="CodeChangeLine"/>
        <w:tabs>
          <w:tab w:pos="567" w:val="left"/>
          <w:tab w:pos="1134" w:val="left"/>
          <w:tab w:pos="1247" w:val="left"/>
        </w:tabs>
        <w:shd w:val="clear" w:color="auto" w:fill="ecfdf0"/>
      </w:pPr>
      <w:r>
        <w:rPr>
          <w:color w:val="BFBFBF"/>
          <w:shd w:val="clear" w:color="auto" w:fill="#ddfbe6"/>
        </w:rPr>
        <w:tab/>
        <w:t>591</w:t>
        <w:tab/>
        <w:t>+</w:t>
        <w:tab/>
      </w:r>
      <w:r>
        <w:t>- Resource states associated with the `AE` is not preserved across mobility events.</w:t>
      </w:r>
    </w:p>
    <w:p>
      <w:pPr>
        <w:pStyle w:val="CodeChangeLine"/>
        <w:tabs>
          <w:tab w:pos="567" w:val="left"/>
          <w:tab w:pos="1134" w:val="left"/>
          <w:tab w:pos="1247" w:val="left"/>
        </w:tabs>
        <w:shd w:val="clear" w:color="auto" w:fill="ecfdf0"/>
      </w:pPr>
      <w:r>
        <w:rPr>
          <w:color w:val="BFBFBF"/>
          <w:shd w:val="clear" w:color="auto" w:fill="#ddfbe6"/>
        </w:rPr>
        <w:tab/>
        <w:t>592</w:t>
        <w:tab/>
        <w:t>+</w:t>
        <w:tab/>
      </w:r>
      <w:r>
        <w:t>- Identity continuity of the `AE` across MN-CSE boundaries is not explicitly supported.</w:t>
      </w:r>
    </w:p>
    <w:p>
      <w:pPr>
        <w:pStyle w:val="CodeChangeLine"/>
        <w:tabs>
          <w:tab w:pos="567" w:val="left"/>
          <w:tab w:pos="1134" w:val="left"/>
          <w:tab w:pos="1247" w:val="left"/>
        </w:tabs>
        <w:shd w:val="clear" w:color="auto" w:fill="ecfdf0"/>
      </w:pPr>
      <w:r>
        <w:rPr>
          <w:color w:val="BFBFBF"/>
          <w:shd w:val="clear" w:color="auto" w:fill="#ddfbe6"/>
        </w:rPr>
        <w:tab/>
        <w:t>593</w:t>
        <w:tab/>
        <w:t>+</w:t>
        <w:tab/>
      </w:r>
      <w:r>
        <w:t>- Application behavior during mobility is dependent on implementation-specific handling rather than standardized semantics.</w:t>
      </w:r>
    </w:p>
    <w:p>
      <w:pPr>
        <w:pStyle w:val="CodeChangeLine"/>
        <w:tabs>
          <w:tab w:pos="567" w:val="left"/>
          <w:tab w:pos="1134" w:val="left"/>
          <w:tab w:pos="1247" w:val="left"/>
        </w:tabs>
        <w:shd w:val="clear" w:color="auto" w:fill="ecfdf0"/>
      </w:pPr>
      <w:r>
        <w:rPr>
          <w:color w:val="BFBFBF"/>
          <w:shd w:val="clear" w:color="auto" w:fill="#ddfbe6"/>
        </w:rPr>
        <w:tab/>
        <w:t>594</w:t>
        <w:tab/>
        <w:t>+</w:t>
        <w:tab/>
      </w:r>
      <w:r>
        <w:t xml:space="preserve">  </w:t>
      </w:r>
    </w:p>
    <w:p>
      <w:pPr>
        <w:pStyle w:val="CodeChangeLine"/>
        <w:tabs>
          <w:tab w:pos="567" w:val="left"/>
          <w:tab w:pos="1134" w:val="left"/>
          <w:tab w:pos="1247" w:val="left"/>
        </w:tabs>
        <w:shd w:val="clear" w:color="auto" w:fill="ecfdf0"/>
      </w:pPr>
      <w:r>
        <w:rPr>
          <w:color w:val="BFBFBF"/>
          <w:shd w:val="clear" w:color="auto" w:fill="#ddfbe6"/>
        </w:rPr>
        <w:tab/>
        <w:t>595</w:t>
        <w:tab/>
        <w:t>+</w:t>
        <w:tab/>
      </w:r>
      <w:r>
        <w:t>This gap complicates the development of mobility-aware devices and services that rely on consistent `AE` identity and state across MN-CSE instances. A potential goal is to preserve the `AE-ID`.</w:t>
      </w:r>
    </w:p>
    <w:p>
      <w:pPr>
        <w:pStyle w:val="CodeChangeLine"/>
        <w:tabs>
          <w:tab w:pos="567" w:val="left"/>
          <w:tab w:pos="1134" w:val="left"/>
          <w:tab w:pos="1247" w:val="left"/>
        </w:tabs>
        <w:shd w:val="clear" w:color="auto" w:fill="ecfdf0"/>
      </w:pPr>
      <w:r>
        <w:rPr>
          <w:color w:val="BFBFBF"/>
          <w:shd w:val="clear" w:color="auto" w:fill="#ddfbe6"/>
        </w:rPr>
        <w:tab/>
        <w:t>596</w:t>
        <w:tab/>
        <w:t>+</w:t>
        <w:tab/>
      </w:r>
      <w:r/>
    </w:p>
    <w:p>
      <w:pPr>
        <w:pStyle w:val="CodeChangeLine"/>
        <w:tabs>
          <w:tab w:pos="567" w:val="left"/>
          <w:tab w:pos="1134" w:val="left"/>
          <w:tab w:pos="1247" w:val="left"/>
        </w:tabs>
        <w:shd w:val="clear" w:color="auto" w:fill="ecfdf0"/>
      </w:pPr>
      <w:r>
        <w:rPr>
          <w:color w:val="BFBFBF"/>
          <w:shd w:val="clear" w:color="auto" w:fill="#ddfbe6"/>
        </w:rPr>
        <w:tab/>
        <w:t>597</w:t>
        <w:tab/>
        <w:t>+</w:t>
        <w:tab/>
      </w:r>
      <w:r>
        <w:tab/>
      </w:r>
    </w:p>
    <w:p>
      <w:pPr>
        <w:pStyle w:val="CodeChangeLine"/>
        <w:tabs>
          <w:tab w:pos="567" w:val="left"/>
          <w:tab w:pos="1134" w:val="left"/>
          <w:tab w:pos="1247" w:val="left"/>
        </w:tabs>
        <w:shd w:val="clear" w:color="auto" w:fill="ecfdf0"/>
      </w:pPr>
      <w:r>
        <w:rPr>
          <w:color w:val="BFBFBF"/>
          <w:shd w:val="clear" w:color="auto" w:fill="#ddfbe6"/>
        </w:rPr>
        <w:tab/>
        <w:t>598</w:t>
        <w:tab/>
        <w:t>+</w:t>
        <w:tab/>
      </w:r>
      <w:r>
        <w:t>**Possible Extensions to Related oneM2M Elements**</w:t>
      </w:r>
    </w:p>
    <w:p>
      <w:pPr>
        <w:pStyle w:val="CodeChangeLine"/>
        <w:tabs>
          <w:tab w:pos="567" w:val="left"/>
          <w:tab w:pos="1134" w:val="left"/>
          <w:tab w:pos="1247" w:val="left"/>
        </w:tabs>
        <w:shd w:val="clear" w:color="auto" w:fill="ecfdf0"/>
      </w:pPr>
      <w:r>
        <w:rPr>
          <w:color w:val="BFBFBF"/>
          <w:shd w:val="clear" w:color="auto" w:fill="#ddfbe6"/>
        </w:rPr>
        <w:tab/>
        <w:t>599</w:t>
        <w:tab/>
        <w:t>+</w:t>
        <w:tab/>
      </w:r>
      <w:r/>
    </w:p>
    <w:p>
      <w:pPr>
        <w:pStyle w:val="CodeChangeLine"/>
        <w:tabs>
          <w:tab w:pos="567" w:val="left"/>
          <w:tab w:pos="1134" w:val="left"/>
          <w:tab w:pos="1247" w:val="left"/>
        </w:tabs>
        <w:shd w:val="clear" w:color="auto" w:fill="ecfdf0"/>
      </w:pPr>
      <w:r>
        <w:rPr>
          <w:color w:val="BFBFBF"/>
          <w:shd w:val="clear" w:color="auto" w:fill="#ddfbe6"/>
        </w:rPr>
        <w:tab/>
        <w:t>600</w:t>
        <w:tab/>
        <w:t>+</w:t>
        <w:tab/>
      </w:r>
      <w:r>
        <w:t xml:space="preserve">- `AE` registration and deregistration procedures have 'CAE' and 'SAE' </w:t>
      </w:r>
    </w:p>
    <w:p>
      <w:pPr>
        <w:pStyle w:val="CodeChangeLine"/>
        <w:tabs>
          <w:tab w:pos="567" w:val="left"/>
          <w:tab w:pos="1134" w:val="left"/>
          <w:tab w:pos="1247" w:val="left"/>
        </w:tabs>
        <w:shd w:val="clear" w:color="auto" w:fill="ecfdf0"/>
      </w:pPr>
      <w:r>
        <w:rPr>
          <w:color w:val="BFBFBF"/>
          <w:shd w:val="clear" w:color="auto" w:fill="#ddfbe6"/>
        </w:rPr>
        <w:tab/>
        <w:t>601</w:t>
        <w:tab/>
        <w:t>+</w:t>
        <w:tab/>
      </w:r>
      <w:r>
        <w:t>- `remoteCSE` federation mechanisms to select the target CSE, including the decendant list of the CSEs</w:t>
      </w:r>
    </w:p>
    <w:p>
      <w:pPr>
        <w:pStyle w:val="CodeChangeLine"/>
        <w:tabs>
          <w:tab w:pos="567" w:val="left"/>
          <w:tab w:pos="1134" w:val="left"/>
          <w:tab w:pos="1247" w:val="left"/>
        </w:tabs>
        <w:shd w:val="clear" w:color="auto" w:fill="ecfdf0"/>
      </w:pPr>
      <w:r>
        <w:rPr>
          <w:color w:val="BFBFBF"/>
          <w:shd w:val="clear" w:color="auto" w:fill="#ddfbe6"/>
        </w:rPr>
        <w:tab/>
        <w:t>602</w:t>
        <w:tab/>
        <w:t>+</w:t>
        <w:tab/>
      </w:r>
      <w:r>
        <w:t>- `triggerRequest` is currently device-targeted (e.g., enable, wakeup, SOTA/FOTA, reboot), while mobility handover also needs AE-targeted commands (e.g., re-registration, update). This gap could be addressed by extending `triggerRequest` (or SDT _action_) with explicit AE-targeting semantics, or by defining a new `AETriggerRequest` resource.</w:t>
      </w:r>
    </w:p>
    <w:p>
      <w:pPr>
        <w:pStyle w:val="CodeChangeLine"/>
        <w:tabs>
          <w:tab w:pos="567" w:val="left"/>
          <w:tab w:pos="1134" w:val="left"/>
          <w:tab w:pos="1247" w:val="left"/>
        </w:tabs>
        <w:shd w:val="clear" w:color="auto" w:fill="ecfdf0"/>
      </w:pPr>
      <w:r>
        <w:rPr>
          <w:color w:val="BFBFBF"/>
          <w:shd w:val="clear" w:color="auto" w:fill="#ddfbe6"/>
        </w:rPr>
        <w:tab/>
        <w:t>603</w:t>
        <w:tab/>
        <w:t>+</w:t>
        <w:tab/>
      </w:r>
      <w:r/>
    </w:p>
    <w:p>
      <w:pPr>
        <w:pStyle w:val="CodeChangeLine"/>
        <w:tabs>
          <w:tab w:pos="567" w:val="left"/>
          <w:tab w:pos="1134" w:val="left"/>
          <w:tab w:pos="1247" w:val="left"/>
        </w:tabs>
        <w:shd w:val="clear" w:color="auto" w:fill="ecfdf0"/>
      </w:pPr>
      <w:r>
        <w:rPr>
          <w:color w:val="BFBFBF"/>
          <w:shd w:val="clear" w:color="auto" w:fill="#ddfbe6"/>
        </w:rPr>
        <w:tab/>
        <w:t>604</w:t>
        <w:tab/>
        <w:t>+</w:t>
        <w:tab/>
      </w:r>
      <w:r>
        <w:t>These mechanisms do not address mobility-related changes in serving MN-CSE context.</w:t>
      </w:r>
    </w:p>
    <w:p>
      <w:pPr>
        <w:pStyle w:val="CodeChangeLine"/>
        <w:tabs>
          <w:tab w:pos="567" w:val="left"/>
          <w:tab w:pos="1134" w:val="left"/>
          <w:tab w:pos="1247" w:val="left"/>
        </w:tabs>
        <w:shd w:val="clear" w:color="auto" w:fill="ecfdf0"/>
      </w:pPr>
      <w:r>
        <w:rPr>
          <w:color w:val="BFBFBF"/>
          <w:shd w:val="clear" w:color="auto" w:fill="#ddfbe6"/>
        </w:rPr>
        <w:tab/>
        <w:t>605</w:t>
        <w:tab/>
        <w:t>+</w:t>
        <w:tab/>
      </w:r>
      <w:r/>
    </w:p>
    <w:p>
      <w:pPr>
        <w:pStyle w:val="CodeChangeLine"/>
        <w:tabs>
          <w:tab w:pos="567" w:val="left"/>
          <w:tab w:pos="1134" w:val="left"/>
          <w:tab w:pos="1247" w:val="left"/>
        </w:tabs>
        <w:shd w:val="clear" w:color="auto" w:fill="ecfdf0"/>
      </w:pPr>
      <w:r>
        <w:rPr>
          <w:color w:val="BFBFBF"/>
          <w:shd w:val="clear" w:color="auto" w:fill="#ddfbe6"/>
        </w:rPr>
        <w:tab/>
        <w:t>606</w:t>
        <w:tab/>
        <w:t>+</w:t>
        <w:tab/>
      </w:r>
      <w:r>
        <w:t>#### 7.2.2.2 Lack of Defined Context Continuity During Context Handover</w:t>
      </w:r>
    </w:p>
    <w:p>
      <w:pPr>
        <w:pStyle w:val="CodeChangeLine"/>
        <w:tabs>
          <w:tab w:pos="567" w:val="left"/>
          <w:tab w:pos="1134" w:val="left"/>
          <w:tab w:pos="1247" w:val="left"/>
        </w:tabs>
        <w:shd w:val="clear" w:color="auto" w:fill="ecfdf0"/>
      </w:pPr>
      <w:r>
        <w:rPr>
          <w:color w:val="BFBFBF"/>
          <w:shd w:val="clear" w:color="auto" w:fill="#ddfbe6"/>
        </w:rPr>
        <w:tab/>
        <w:t>607</w:t>
        <w:tab/>
        <w:t>+</w:t>
        <w:tab/>
      </w:r>
      <w:r/>
    </w:p>
    <w:p>
      <w:pPr>
        <w:pStyle w:val="CodeChangeLine"/>
        <w:tabs>
          <w:tab w:pos="567" w:val="left"/>
          <w:tab w:pos="1134" w:val="left"/>
          <w:tab w:pos="1247" w:val="left"/>
        </w:tabs>
        <w:shd w:val="clear" w:color="auto" w:fill="ecfdf0"/>
      </w:pPr>
      <w:r>
        <w:rPr>
          <w:color w:val="BFBFBF"/>
          <w:shd w:val="clear" w:color="auto" w:fill="#ddfbe6"/>
        </w:rPr>
        <w:tab/>
        <w:t>608</w:t>
        <w:tab/>
        <w:t>+</w:t>
        <w:tab/>
      </w:r>
      <w:r>
        <w:t>Gap boundary: This subclause focuses on continuity of data/state/associations across the handover interval; serving-MN-CSE resolution for downlink is covered in 7.2.2.4.</w:t>
      </w:r>
    </w:p>
    <w:p>
      <w:pPr>
        <w:pStyle w:val="CodeChangeLine"/>
        <w:tabs>
          <w:tab w:pos="567" w:val="left"/>
          <w:tab w:pos="1134" w:val="left"/>
          <w:tab w:pos="1247" w:val="left"/>
        </w:tabs>
        <w:shd w:val="clear" w:color="auto" w:fill="ecfdf0"/>
      </w:pPr>
      <w:r>
        <w:rPr>
          <w:color w:val="BFBFBF"/>
          <w:shd w:val="clear" w:color="auto" w:fill="#ddfbe6"/>
        </w:rPr>
        <w:tab/>
        <w:t>609</w:t>
        <w:tab/>
        <w:t>+</w:t>
        <w:tab/>
      </w:r>
      <w:r/>
    </w:p>
    <w:p>
      <w:pPr>
        <w:pStyle w:val="CodeChangeLine"/>
        <w:tabs>
          <w:tab w:pos="567" w:val="left"/>
          <w:tab w:pos="1134" w:val="left"/>
          <w:tab w:pos="1247" w:val="left"/>
        </w:tabs>
        <w:shd w:val="clear" w:color="auto" w:fill="ecfdf0"/>
      </w:pPr>
      <w:r>
        <w:rPr>
          <w:color w:val="BFBFBF"/>
          <w:shd w:val="clear" w:color="auto" w:fill="#ddfbe6"/>
        </w:rPr>
        <w:tab/>
        <w:t>610</w:t>
        <w:tab/>
        <w:t>+</w:t>
        <w:tab/>
      </w:r>
      <w:r>
        <w:t>In distributed oneM2M systems, an Application Entity (AE) may transition between MN-CSEs as part of a registration handover, without implying termination of the application itself.</w:t>
      </w:r>
    </w:p>
    <w:p>
      <w:pPr>
        <w:pStyle w:val="CodeChangeLine"/>
        <w:tabs>
          <w:tab w:pos="567" w:val="left"/>
          <w:tab w:pos="1134" w:val="left"/>
          <w:tab w:pos="1247" w:val="left"/>
        </w:tabs>
        <w:shd w:val="clear" w:color="auto" w:fill="ecfdf0"/>
      </w:pPr>
      <w:r>
        <w:rPr>
          <w:color w:val="BFBFBF"/>
          <w:shd w:val="clear" w:color="auto" w:fill="#ddfbe6"/>
        </w:rPr>
        <w:tab/>
        <w:t>611</w:t>
        <w:tab/>
        <w:t>+</w:t>
        <w:tab/>
      </w:r>
      <w:r/>
    </w:p>
    <w:p>
      <w:pPr>
        <w:pStyle w:val="CodeChangeLine"/>
        <w:tabs>
          <w:tab w:pos="567" w:val="left"/>
          <w:tab w:pos="1134" w:val="left"/>
          <w:tab w:pos="1247" w:val="left"/>
        </w:tabs>
        <w:shd w:val="clear" w:color="auto" w:fill="ecfdf0"/>
      </w:pPr>
      <w:r>
        <w:rPr>
          <w:color w:val="BFBFBF"/>
          <w:shd w:val="clear" w:color="auto" w:fill="#ddfbe6"/>
        </w:rPr>
        <w:tab/>
        <w:t>612</w:t>
        <w:tab/>
        <w:t>+</w:t>
        <w:tab/>
      </w:r>
      <w:r>
        <w:t>Current oneM2M specifications define registration as a local relationship between an AE and a specific serving CSE. Registration-related information—such as resource identifiers,  subscriptions, and access control context—is maintained independently at each MN-CSE and is removed when the AE is deregistered.</w:t>
      </w:r>
    </w:p>
    <w:p>
      <w:pPr>
        <w:pStyle w:val="CodeChangeLine"/>
        <w:tabs>
          <w:tab w:pos="567" w:val="left"/>
          <w:tab w:pos="1134" w:val="left"/>
          <w:tab w:pos="1247" w:val="left"/>
        </w:tabs>
        <w:shd w:val="clear" w:color="auto" w:fill="ecfdf0"/>
      </w:pPr>
      <w:r>
        <w:rPr>
          <w:color w:val="BFBFBF"/>
          <w:shd w:val="clear" w:color="auto" w:fill="#ddfbe6"/>
        </w:rPr>
        <w:tab/>
        <w:t>613</w:t>
        <w:tab/>
        <w:t>+</w:t>
        <w:tab/>
      </w:r>
      <w:r/>
    </w:p>
    <w:p>
      <w:pPr>
        <w:pStyle w:val="CodeChangeLine"/>
        <w:tabs>
          <w:tab w:pos="567" w:val="left"/>
          <w:tab w:pos="1134" w:val="left"/>
          <w:tab w:pos="1247" w:val="left"/>
        </w:tabs>
        <w:shd w:val="clear" w:color="auto" w:fill="ecfdf0"/>
      </w:pPr>
      <w:r>
        <w:rPr>
          <w:color w:val="BFBFBF"/>
          <w:shd w:val="clear" w:color="auto" w:fill="#ddfbe6"/>
        </w:rPr>
        <w:tab/>
        <w:t>614</w:t>
        <w:tab/>
        <w:t>+</w:t>
        <w:tab/>
      </w:r>
      <w:r>
        <w:t>![Fig 7.2.2.2-1](media/handover_7_2_2_2.png)</w:t>
      </w:r>
    </w:p>
    <w:p>
      <w:pPr>
        <w:pStyle w:val="CodeChangeLine"/>
        <w:tabs>
          <w:tab w:pos="567" w:val="left"/>
          <w:tab w:pos="1134" w:val="left"/>
          <w:tab w:pos="1247" w:val="left"/>
        </w:tabs>
        <w:shd w:val="clear" w:color="auto" w:fill="ecfdf0"/>
      </w:pPr>
      <w:r>
        <w:rPr>
          <w:color w:val="BFBFBF"/>
          <w:shd w:val="clear" w:color="auto" w:fill="#ddfbe6"/>
        </w:rPr>
        <w:tab/>
        <w:t>615</w:t>
        <w:tab/>
        <w:t>+</w:t>
        <w:tab/>
      </w:r>
      <w:r/>
    </w:p>
    <w:p>
      <w:pPr>
        <w:pStyle w:val="CodeChangeLine"/>
        <w:tabs>
          <w:tab w:pos="567" w:val="left"/>
          <w:tab w:pos="1134" w:val="left"/>
          <w:tab w:pos="1247" w:val="left"/>
        </w:tabs>
        <w:shd w:val="clear" w:color="auto" w:fill="ecfdf0"/>
      </w:pPr>
      <w:r>
        <w:rPr>
          <w:color w:val="BFBFBF"/>
          <w:shd w:val="clear" w:color="auto" w:fill="#ddfbe6"/>
        </w:rPr>
        <w:tab/>
        <w:t>616</w:t>
        <w:tab/>
        <w:t>+</w:t>
        <w:tab/>
      </w:r>
      <w:r>
        <w:t>**Fig 7.2.2.2-1 Context Continuity During Context Handover**</w:t>
      </w:r>
    </w:p>
    <w:p>
      <w:pPr>
        <w:pStyle w:val="CodeChangeLine"/>
        <w:tabs>
          <w:tab w:pos="567" w:val="left"/>
          <w:tab w:pos="1134" w:val="left"/>
          <w:tab w:pos="1247" w:val="left"/>
        </w:tabs>
        <w:shd w:val="clear" w:color="auto" w:fill="ecfdf0"/>
      </w:pPr>
      <w:r>
        <w:rPr>
          <w:color w:val="BFBFBF"/>
          <w:shd w:val="clear" w:color="auto" w:fill="#ddfbe6"/>
        </w:rPr>
        <w:tab/>
        <w:t>617</w:t>
        <w:tab/>
        <w:t>+</w:t>
        <w:tab/>
      </w:r>
      <w:r/>
    </w:p>
    <w:p>
      <w:pPr>
        <w:pStyle w:val="CodeChangeLine"/>
        <w:tabs>
          <w:tab w:pos="567" w:val="left"/>
          <w:tab w:pos="1134" w:val="left"/>
          <w:tab w:pos="1247" w:val="left"/>
        </w:tabs>
        <w:shd w:val="clear" w:color="auto" w:fill="ecfdf0"/>
      </w:pPr>
      <w:r>
        <w:rPr>
          <w:color w:val="BFBFBF"/>
          <w:shd w:val="clear" w:color="auto" w:fill="#ddfbe6"/>
        </w:rPr>
        <w:tab/>
        <w:t>618</w:t>
        <w:tab/>
        <w:t>+</w:t>
        <w:tab/>
      </w:r>
      <w:r>
        <w:t>The specifications do not describe how state context is handled when an AE changes its serving MN-CSE. There is no normative definition of how identity, state, or associations established at one MN-CSE relate to subsequent registration at another MN-CSE within the same system.</w:t>
      </w:r>
    </w:p>
    <w:p>
      <w:pPr>
        <w:pStyle w:val="CodeChangeLine"/>
        <w:tabs>
          <w:tab w:pos="567" w:val="left"/>
          <w:tab w:pos="1134" w:val="left"/>
          <w:tab w:pos="1247" w:val="left"/>
        </w:tabs>
        <w:shd w:val="clear" w:color="auto" w:fill="ecfdf0"/>
      </w:pPr>
      <w:r>
        <w:rPr>
          <w:color w:val="BFBFBF"/>
          <w:shd w:val="clear" w:color="auto" w:fill="#ddfbe6"/>
        </w:rPr>
        <w:tab/>
        <w:t>619</w:t>
        <w:tab/>
        <w:t>+</w:t>
        <w:tab/>
      </w:r>
      <w:r/>
    </w:p>
    <w:p>
      <w:pPr>
        <w:pStyle w:val="CodeChangeLine"/>
        <w:tabs>
          <w:tab w:pos="567" w:val="left"/>
          <w:tab w:pos="1134" w:val="left"/>
          <w:tab w:pos="1247" w:val="left"/>
        </w:tabs>
        <w:shd w:val="clear" w:color="auto" w:fill="ecfdf0"/>
      </w:pPr>
      <w:r>
        <w:rPr>
          <w:color w:val="BFBFBF"/>
          <w:shd w:val="clear" w:color="auto" w:fill="#ddfbe6"/>
        </w:rPr>
        <w:tab/>
        <w:t>620</w:t>
        <w:tab/>
        <w:t>+</w:t>
        <w:tab/>
      </w:r>
      <w:r>
        <w:t>As a consequence, data produced or exchanged during the handover interval may be lost or become unobservable due to the absence of a defined serving MN-CSE and associated registration context. This limits the ability of oneM2M systems to provide seamless service continuity and state persistence across MN-CSE boundaries during mobility events.</w:t>
      </w:r>
    </w:p>
    <w:p>
      <w:pPr>
        <w:pStyle w:val="CodeChangeLine"/>
        <w:tabs>
          <w:tab w:pos="567" w:val="left"/>
          <w:tab w:pos="1134" w:val="left"/>
          <w:tab w:pos="1247" w:val="left"/>
        </w:tabs>
        <w:shd w:val="clear" w:color="auto" w:fill="ecfdf0"/>
      </w:pPr>
      <w:r>
        <w:rPr>
          <w:color w:val="BFBFBF"/>
          <w:shd w:val="clear" w:color="auto" w:fill="#ddfbe6"/>
        </w:rPr>
        <w:tab/>
        <w:t>621</w:t>
        <w:tab/>
        <w:t>+</w:t>
        <w:tab/>
      </w:r>
      <w:r/>
    </w:p>
    <w:p>
      <w:pPr>
        <w:pStyle w:val="CodeChangeLine"/>
        <w:tabs>
          <w:tab w:pos="567" w:val="left"/>
          <w:tab w:pos="1134" w:val="left"/>
          <w:tab w:pos="1247" w:val="left"/>
        </w:tabs>
        <w:shd w:val="clear" w:color="auto" w:fill="ecfdf0"/>
      </w:pPr>
      <w:r>
        <w:rPr>
          <w:color w:val="BFBFBF"/>
          <w:shd w:val="clear" w:color="auto" w:fill="#ddfbe6"/>
        </w:rPr>
        <w:tab/>
        <w:t>622</w:t>
        <w:tab/>
        <w:t>+</w:t>
        <w:tab/>
      </w:r>
      <w:r>
        <w:t>**Possible Extensions to Related oneM2M Elements**</w:t>
      </w:r>
    </w:p>
    <w:p>
      <w:pPr>
        <w:pStyle w:val="CodeChangeLine"/>
        <w:tabs>
          <w:tab w:pos="567" w:val="left"/>
          <w:tab w:pos="1134" w:val="left"/>
          <w:tab w:pos="1247" w:val="left"/>
        </w:tabs>
        <w:shd w:val="clear" w:color="auto" w:fill="ecfdf0"/>
      </w:pPr>
      <w:r>
        <w:rPr>
          <w:color w:val="BFBFBF"/>
          <w:shd w:val="clear" w:color="auto" w:fill="#ddfbe6"/>
        </w:rPr>
        <w:tab/>
        <w:t>623</w:t>
        <w:tab/>
        <w:t>+</w:t>
        <w:tab/>
      </w:r>
      <w:r/>
    </w:p>
    <w:p>
      <w:pPr>
        <w:pStyle w:val="CodeChangeLine"/>
        <w:tabs>
          <w:tab w:pos="567" w:val="left"/>
          <w:tab w:pos="1134" w:val="left"/>
          <w:tab w:pos="1247" w:val="left"/>
        </w:tabs>
        <w:shd w:val="clear" w:color="auto" w:fill="ecfdf0"/>
      </w:pPr>
      <w:r>
        <w:rPr>
          <w:color w:val="BFBFBF"/>
          <w:shd w:val="clear" w:color="auto" w:fill="#ddfbe6"/>
        </w:rPr>
        <w:tab/>
        <w:t>624</w:t>
        <w:tab/>
        <w:t>+</w:t>
        <w:tab/>
      </w:r>
      <w:r>
        <w:t>- AE</w:t>
      </w:r>
    </w:p>
    <w:p>
      <w:pPr>
        <w:pStyle w:val="CodeChangeLine"/>
        <w:tabs>
          <w:tab w:pos="567" w:val="left"/>
          <w:tab w:pos="1134" w:val="left"/>
          <w:tab w:pos="1247" w:val="left"/>
        </w:tabs>
        <w:shd w:val="clear" w:color="auto" w:fill="ecfdf0"/>
      </w:pPr>
      <w:r>
        <w:rPr>
          <w:color w:val="BFBFBF"/>
          <w:shd w:val="clear" w:color="auto" w:fill="#ddfbe6"/>
        </w:rPr>
        <w:tab/>
        <w:t>625</w:t>
        <w:tab/>
        <w:t>+</w:t>
        <w:tab/>
      </w:r>
      <w:r>
        <w:t>- container and contentInstance (and other data sharing resources)</w:t>
      </w:r>
    </w:p>
    <w:p>
      <w:pPr>
        <w:pStyle w:val="CodeChangeLine"/>
        <w:tabs>
          <w:tab w:pos="567" w:val="left"/>
          <w:tab w:pos="1134" w:val="left"/>
          <w:tab w:pos="1247" w:val="left"/>
        </w:tabs>
        <w:shd w:val="clear" w:color="auto" w:fill="ecfdf0"/>
      </w:pPr>
      <w:r>
        <w:rPr>
          <w:color w:val="BFBFBF"/>
          <w:shd w:val="clear" w:color="auto" w:fill="#ddfbe6"/>
        </w:rPr>
        <w:tab/>
        <w:t>626</w:t>
        <w:tab/>
        <w:t>+</w:t>
        <w:tab/>
      </w:r>
      <w:r>
        <w:t>- subscription</w:t>
      </w:r>
    </w:p>
    <w:p>
      <w:pPr>
        <w:pStyle w:val="CodeChangeLine"/>
        <w:tabs>
          <w:tab w:pos="567" w:val="left"/>
          <w:tab w:pos="1134" w:val="left"/>
          <w:tab w:pos="1247" w:val="left"/>
        </w:tabs>
        <w:shd w:val="clear" w:color="auto" w:fill="ecfdf0"/>
      </w:pPr>
      <w:r>
        <w:rPr>
          <w:color w:val="BFBFBF"/>
          <w:shd w:val="clear" w:color="auto" w:fill="#ddfbe6"/>
        </w:rPr>
        <w:tab/>
        <w:t>627</w:t>
        <w:tab/>
        <w:t>+</w:t>
        <w:tab/>
      </w:r>
      <w:r>
        <w:t>- accessControlPolicy</w:t>
      </w:r>
    </w:p>
    <w:p>
      <w:pPr>
        <w:pStyle w:val="CodeChangeLine"/>
        <w:tabs>
          <w:tab w:pos="567" w:val="left"/>
          <w:tab w:pos="1134" w:val="left"/>
          <w:tab w:pos="1247" w:val="left"/>
        </w:tabs>
        <w:shd w:val="clear" w:color="auto" w:fill="ecfdf0"/>
      </w:pPr>
      <w:r>
        <w:rPr>
          <w:color w:val="BFBFBF"/>
          <w:shd w:val="clear" w:color="auto" w:fill="#ddfbe6"/>
        </w:rPr>
        <w:tab/>
        <w:t>628</w:t>
        <w:tab/>
        <w:t>+</w:t>
        <w:tab/>
      </w:r>
      <w:r>
        <w:t xml:space="preserve">- group </w:t>
      </w:r>
    </w:p>
    <w:p>
      <w:pPr>
        <w:pStyle w:val="CodeChangeLine"/>
        <w:tabs>
          <w:tab w:pos="567" w:val="left"/>
          <w:tab w:pos="1134" w:val="left"/>
          <w:tab w:pos="1247" w:val="left"/>
        </w:tabs>
        <w:shd w:val="clear" w:color="auto" w:fill="ecfdf0"/>
      </w:pPr>
      <w:r>
        <w:rPr>
          <w:color w:val="BFBFBF"/>
          <w:shd w:val="clear" w:color="auto" w:fill="#ddfbe6"/>
        </w:rPr>
        <w:tab/>
        <w:t>629</w:t>
        <w:tab/>
        <w:t>+</w:t>
        <w:tab/>
      </w:r>
      <w:r>
        <w:t>- CMDH</w:t>
      </w:r>
    </w:p>
    <w:p>
      <w:pPr>
        <w:pStyle w:val="CodeChangeLine"/>
        <w:tabs>
          <w:tab w:pos="567" w:val="left"/>
          <w:tab w:pos="1134" w:val="left"/>
          <w:tab w:pos="1247" w:val="left"/>
        </w:tabs>
        <w:shd w:val="clear" w:color="auto" w:fill="ecfdf0"/>
      </w:pPr>
      <w:r>
        <w:rPr>
          <w:color w:val="BFBFBF"/>
          <w:shd w:val="clear" w:color="auto" w:fill="#ddfbe6"/>
        </w:rPr>
        <w:tab/>
        <w:t>630</w:t>
        <w:tab/>
        <w:t>+</w:t>
        <w:tab/>
      </w:r>
      <w:r/>
    </w:p>
    <w:p>
      <w:pPr>
        <w:pStyle w:val="CodeChangeLine"/>
        <w:tabs>
          <w:tab w:pos="567" w:val="left"/>
          <w:tab w:pos="1134" w:val="left"/>
          <w:tab w:pos="1247" w:val="left"/>
        </w:tabs>
        <w:shd w:val="clear" w:color="auto" w:fill="ecfdf0"/>
      </w:pPr>
      <w:r>
        <w:rPr>
          <w:color w:val="BFBFBF"/>
          <w:shd w:val="clear" w:color="auto" w:fill="#ddfbe6"/>
        </w:rPr>
        <w:tab/>
        <w:t>631</w:t>
        <w:tab/>
        <w:t>+</w:t>
        <w:tab/>
      </w:r>
      <w:r>
        <w:t>#### 7.2.2.3 Resource Announcement Does Not Address Context Handover Semantics</w:t>
      </w:r>
    </w:p>
    <w:p>
      <w:pPr>
        <w:pStyle w:val="CodeChangeLine"/>
        <w:tabs>
          <w:tab w:pos="567" w:val="left"/>
          <w:tab w:pos="1134" w:val="left"/>
          <w:tab w:pos="1247" w:val="left"/>
        </w:tabs>
        <w:shd w:val="clear" w:color="auto" w:fill="ecfdf0"/>
      </w:pPr>
      <w:r>
        <w:rPr>
          <w:color w:val="BFBFBF"/>
          <w:shd w:val="clear" w:color="auto" w:fill="#ddfbe6"/>
        </w:rPr>
        <w:tab/>
        <w:t>632</w:t>
        <w:tab/>
        <w:t>+</w:t>
        <w:tab/>
      </w:r>
      <w:r/>
    </w:p>
    <w:p>
      <w:pPr>
        <w:pStyle w:val="CodeChangeLine"/>
        <w:tabs>
          <w:tab w:pos="567" w:val="left"/>
          <w:tab w:pos="1134" w:val="left"/>
          <w:tab w:pos="1247" w:val="left"/>
        </w:tabs>
        <w:shd w:val="clear" w:color="auto" w:fill="ecfdf0"/>
      </w:pPr>
      <w:r>
        <w:rPr>
          <w:color w:val="BFBFBF"/>
          <w:shd w:val="clear" w:color="auto" w:fill="#ddfbe6"/>
        </w:rPr>
        <w:tab/>
        <w:t>633</w:t>
        <w:tab/>
        <w:t>+</w:t>
        <w:tab/>
      </w:r>
      <w:r>
        <w:t>Gap boundary: This subclause focuses on announcement behavior under handover and does not redefine AE registration semantics.</w:t>
      </w:r>
    </w:p>
    <w:p>
      <w:pPr>
        <w:pStyle w:val="CodeChangeLine"/>
        <w:tabs>
          <w:tab w:pos="567" w:val="left"/>
          <w:tab w:pos="1134" w:val="left"/>
          <w:tab w:pos="1247" w:val="left"/>
        </w:tabs>
        <w:shd w:val="clear" w:color="auto" w:fill="ecfdf0"/>
      </w:pPr>
      <w:r>
        <w:rPr>
          <w:color w:val="BFBFBF"/>
          <w:shd w:val="clear" w:color="auto" w:fill="#ddfbe6"/>
        </w:rPr>
        <w:tab/>
        <w:t>634</w:t>
        <w:tab/>
        <w:t>+</w:t>
        <w:tab/>
      </w:r>
      <w:r/>
    </w:p>
    <w:p>
      <w:pPr>
        <w:pStyle w:val="CodeChangeLine"/>
        <w:tabs>
          <w:tab w:pos="567" w:val="left"/>
          <w:tab w:pos="1134" w:val="left"/>
          <w:tab w:pos="1247" w:val="left"/>
        </w:tabs>
        <w:shd w:val="clear" w:color="auto" w:fill="ecfdf0"/>
      </w:pPr>
      <w:r>
        <w:rPr>
          <w:color w:val="BFBFBF"/>
          <w:shd w:val="clear" w:color="auto" w:fill="#ddfbe6"/>
        </w:rPr>
        <w:tab/>
        <w:t>635</w:t>
        <w:tab/>
        <w:t>+</w:t>
        <w:tab/>
      </w:r>
      <w:r>
        <w:t>Resource announcement enables visibility or replication of resources across CSEs. However, announcement is defined independently of context handover scenarios.</w:t>
      </w:r>
    </w:p>
    <w:p>
      <w:pPr>
        <w:pStyle w:val="CodeChangeLine"/>
        <w:tabs>
          <w:tab w:pos="567" w:val="left"/>
          <w:tab w:pos="1134" w:val="left"/>
          <w:tab w:pos="1247" w:val="left"/>
        </w:tabs>
        <w:shd w:val="clear" w:color="auto" w:fill="ecfdf0"/>
      </w:pPr>
      <w:r>
        <w:rPr>
          <w:color w:val="BFBFBF"/>
          <w:shd w:val="clear" w:color="auto" w:fill="#ddfbe6"/>
        </w:rPr>
        <w:tab/>
        <w:t>636</w:t>
        <w:tab/>
        <w:t>+</w:t>
        <w:tab/>
      </w:r>
      <w:r/>
    </w:p>
    <w:p>
      <w:pPr>
        <w:pStyle w:val="CodeChangeLine"/>
        <w:tabs>
          <w:tab w:pos="567" w:val="left"/>
          <w:tab w:pos="1134" w:val="left"/>
          <w:tab w:pos="1247" w:val="left"/>
        </w:tabs>
        <w:shd w:val="clear" w:color="auto" w:fill="ecfdf0"/>
      </w:pPr>
      <w:r>
        <w:rPr>
          <w:color w:val="BFBFBF"/>
          <w:shd w:val="clear" w:color="auto" w:fill="#ddfbe6"/>
        </w:rPr>
        <w:tab/>
        <w:t>637</w:t>
        <w:tab/>
        <w:t>+</w:t>
        <w:tab/>
      </w:r>
      <w:r>
        <w:t xml:space="preserve">The oneM2M specifications do not describe how announced resources should behave when the originating AE undergoes a handover between MN-CSEs. Announced resources remain dependent on the lifecycle of the original resources and do not convey continuity of ownership or execution context. For example, if a resource on the original MN-CSE is deleted during handover, the announced resource may also become invalid.  </w:t>
      </w:r>
    </w:p>
    <w:p>
      <w:pPr>
        <w:pStyle w:val="CodeChangeLine"/>
        <w:tabs>
          <w:tab w:pos="567" w:val="left"/>
          <w:tab w:pos="1134" w:val="left"/>
          <w:tab w:pos="1247" w:val="left"/>
        </w:tabs>
        <w:shd w:val="clear" w:color="auto" w:fill="ecfdf0"/>
      </w:pPr>
      <w:r>
        <w:rPr>
          <w:color w:val="BFBFBF"/>
          <w:shd w:val="clear" w:color="auto" w:fill="#ddfbe6"/>
        </w:rPr>
        <w:tab/>
        <w:t>638</w:t>
        <w:tab/>
        <w:t>+</w:t>
        <w:tab/>
      </w:r>
      <w:r/>
    </w:p>
    <w:p>
      <w:pPr>
        <w:pStyle w:val="CodeChangeLine"/>
        <w:tabs>
          <w:tab w:pos="567" w:val="left"/>
          <w:tab w:pos="1134" w:val="left"/>
          <w:tab w:pos="1247" w:val="left"/>
        </w:tabs>
        <w:shd w:val="clear" w:color="auto" w:fill="ecfdf0"/>
      </w:pPr>
      <w:r>
        <w:rPr>
          <w:color w:val="BFBFBF"/>
          <w:shd w:val="clear" w:color="auto" w:fill="#ddfbe6"/>
        </w:rPr>
        <w:tab/>
        <w:t>639</w:t>
        <w:tab/>
        <w:t>+</w:t>
        <w:tab/>
      </w:r>
      <w:r>
        <w:t>![Fig 7.2.2.3-1](media/handover_7_2_2_3.png)</w:t>
      </w:r>
    </w:p>
    <w:p>
      <w:pPr>
        <w:pStyle w:val="CodeChangeLine"/>
        <w:tabs>
          <w:tab w:pos="567" w:val="left"/>
          <w:tab w:pos="1134" w:val="left"/>
          <w:tab w:pos="1247" w:val="left"/>
        </w:tabs>
        <w:shd w:val="clear" w:color="auto" w:fill="ecfdf0"/>
      </w:pPr>
      <w:r>
        <w:rPr>
          <w:color w:val="BFBFBF"/>
          <w:shd w:val="clear" w:color="auto" w:fill="#ddfbe6"/>
        </w:rPr>
        <w:tab/>
        <w:t>640</w:t>
        <w:tab/>
        <w:t>+</w:t>
        <w:tab/>
      </w:r>
      <w:r/>
    </w:p>
    <w:p>
      <w:pPr>
        <w:pStyle w:val="CodeChangeLine"/>
        <w:tabs>
          <w:tab w:pos="567" w:val="left"/>
          <w:tab w:pos="1134" w:val="left"/>
          <w:tab w:pos="1247" w:val="left"/>
        </w:tabs>
        <w:shd w:val="clear" w:color="auto" w:fill="ecfdf0"/>
      </w:pPr>
      <w:r>
        <w:rPr>
          <w:color w:val="BFBFBF"/>
          <w:shd w:val="clear" w:color="auto" w:fill="#ddfbe6"/>
        </w:rPr>
        <w:tab/>
        <w:t>641</w:t>
        <w:tab/>
        <w:t>+</w:t>
        <w:tab/>
      </w:r>
      <w:r>
        <w:t>**Fig 7.2.2.3-1 Resource Announcement and Context Handover**</w:t>
      </w:r>
    </w:p>
    <w:p>
      <w:pPr>
        <w:pStyle w:val="CodeChangeLine"/>
        <w:tabs>
          <w:tab w:pos="567" w:val="left"/>
          <w:tab w:pos="1134" w:val="left"/>
          <w:tab w:pos="1247" w:val="left"/>
        </w:tabs>
        <w:shd w:val="clear" w:color="auto" w:fill="ecfdf0"/>
      </w:pPr>
      <w:r>
        <w:rPr>
          <w:color w:val="BFBFBF"/>
          <w:shd w:val="clear" w:color="auto" w:fill="#ddfbe6"/>
        </w:rPr>
        <w:tab/>
        <w:t>642</w:t>
        <w:tab/>
        <w:t>+</w:t>
        <w:tab/>
      </w:r>
      <w:r/>
    </w:p>
    <w:p>
      <w:pPr>
        <w:pStyle w:val="CodeChangeLine"/>
        <w:tabs>
          <w:tab w:pos="567" w:val="left"/>
          <w:tab w:pos="1134" w:val="left"/>
          <w:tab w:pos="1247" w:val="left"/>
        </w:tabs>
        <w:shd w:val="clear" w:color="auto" w:fill="ecfdf0"/>
      </w:pPr>
      <w:r>
        <w:rPr>
          <w:color w:val="BFBFBF"/>
          <w:shd w:val="clear" w:color="auto" w:fill="#ddfbe6"/>
        </w:rPr>
        <w:tab/>
        <w:t>643</w:t>
        <w:tab/>
        <w:t>+</w:t>
        <w:tab/>
      </w:r>
      <w:r>
        <w:t>As a result, announcement mechanisms cannot be used to represent application continuity or state persistence across MN-CSE boundaries during handover. The desired solution is that when an `AE` moves from one MN-CSE to another, the announced resources should continue to reflect the state and identity of the `AE` at the new MN-CSE as well as the IN-CSE (the announced resource should be linked to the new MN-CSE).</w:t>
      </w:r>
    </w:p>
    <w:p>
      <w:pPr>
        <w:pStyle w:val="CodeChangeLine"/>
        <w:tabs>
          <w:tab w:pos="567" w:val="left"/>
          <w:tab w:pos="1134" w:val="left"/>
          <w:tab w:pos="1247" w:val="left"/>
        </w:tabs>
        <w:shd w:val="clear" w:color="auto" w:fill="ecfdf0"/>
      </w:pPr>
      <w:r>
        <w:rPr>
          <w:color w:val="BFBFBF"/>
          <w:shd w:val="clear" w:color="auto" w:fill="#ddfbe6"/>
        </w:rPr>
        <w:tab/>
        <w:t>644</w:t>
        <w:tab/>
        <w:t>+</w:t>
        <w:tab/>
      </w:r>
      <w:r/>
    </w:p>
    <w:p>
      <w:pPr>
        <w:pStyle w:val="CodeChangeLine"/>
        <w:tabs>
          <w:tab w:pos="567" w:val="left"/>
          <w:tab w:pos="1134" w:val="left"/>
          <w:tab w:pos="1247" w:val="left"/>
        </w:tabs>
        <w:shd w:val="clear" w:color="auto" w:fill="ecfdf0"/>
      </w:pPr>
      <w:r>
        <w:rPr>
          <w:color w:val="BFBFBF"/>
          <w:shd w:val="clear" w:color="auto" w:fill="#ddfbe6"/>
        </w:rPr>
        <w:tab/>
        <w:t>645</w:t>
        <w:tab/>
        <w:t>+</w:t>
        <w:tab/>
      </w:r>
      <w:r>
        <w:t>This limits the applicability of announcement in mobility-aware or context-adaptive deployments.</w:t>
      </w:r>
    </w:p>
    <w:p>
      <w:pPr>
        <w:pStyle w:val="CodeChangeLine"/>
        <w:tabs>
          <w:tab w:pos="567" w:val="left"/>
          <w:tab w:pos="1134" w:val="left"/>
          <w:tab w:pos="1247" w:val="left"/>
        </w:tabs>
        <w:shd w:val="clear" w:color="auto" w:fill="ecfdf0"/>
      </w:pPr>
      <w:r>
        <w:rPr>
          <w:color w:val="BFBFBF"/>
          <w:shd w:val="clear" w:color="auto" w:fill="#ddfbe6"/>
        </w:rPr>
        <w:tab/>
        <w:t>646</w:t>
        <w:tab/>
        <w:t>+</w:t>
        <w:tab/>
      </w:r>
      <w:r/>
    </w:p>
    <w:p>
      <w:pPr>
        <w:pStyle w:val="CodeChangeLine"/>
        <w:tabs>
          <w:tab w:pos="567" w:val="left"/>
          <w:tab w:pos="1134" w:val="left"/>
          <w:tab w:pos="1247" w:val="left"/>
        </w:tabs>
        <w:shd w:val="clear" w:color="auto" w:fill="ecfdf0"/>
      </w:pPr>
      <w:r>
        <w:rPr>
          <w:color w:val="BFBFBF"/>
          <w:shd w:val="clear" w:color="auto" w:fill="#ddfbe6"/>
        </w:rPr>
        <w:tab/>
        <w:t>647</w:t>
        <w:tab/>
        <w:t>+</w:t>
        <w:tab/>
      </w:r>
      <w:r>
        <w:t>**Possible Extensions to Related oneM2M Elements**</w:t>
      </w:r>
    </w:p>
    <w:p>
      <w:pPr>
        <w:pStyle w:val="CodeChangeLine"/>
        <w:tabs>
          <w:tab w:pos="567" w:val="left"/>
          <w:tab w:pos="1134" w:val="left"/>
          <w:tab w:pos="1247" w:val="left"/>
        </w:tabs>
        <w:shd w:val="clear" w:color="auto" w:fill="ecfdf0"/>
      </w:pPr>
      <w:r>
        <w:rPr>
          <w:color w:val="BFBFBF"/>
          <w:shd w:val="clear" w:color="auto" w:fill="#ddfbe6"/>
        </w:rPr>
        <w:tab/>
        <w:t>648</w:t>
        <w:tab/>
        <w:t>+</w:t>
        <w:tab/>
      </w:r>
      <w:r/>
    </w:p>
    <w:p>
      <w:pPr>
        <w:pStyle w:val="CodeChangeLine"/>
        <w:tabs>
          <w:tab w:pos="567" w:val="left"/>
          <w:tab w:pos="1134" w:val="left"/>
          <w:tab w:pos="1247" w:val="left"/>
        </w:tabs>
        <w:shd w:val="clear" w:color="auto" w:fill="ecfdf0"/>
      </w:pPr>
      <w:r>
        <w:rPr>
          <w:color w:val="BFBFBF"/>
          <w:shd w:val="clear" w:color="auto" w:fill="#ddfbe6"/>
        </w:rPr>
        <w:tab/>
        <w:t>649</w:t>
        <w:tab/>
        <w:t>+</w:t>
        <w:tab/>
      </w:r>
      <w:r>
        <w:t>- Announced AE</w:t>
      </w:r>
    </w:p>
    <w:p>
      <w:pPr>
        <w:pStyle w:val="CodeChangeLine"/>
        <w:tabs>
          <w:tab w:pos="567" w:val="left"/>
          <w:tab w:pos="1134" w:val="left"/>
          <w:tab w:pos="1247" w:val="left"/>
        </w:tabs>
        <w:shd w:val="clear" w:color="auto" w:fill="ecfdf0"/>
      </w:pPr>
      <w:r>
        <w:rPr>
          <w:color w:val="BFBFBF"/>
          <w:shd w:val="clear" w:color="auto" w:fill="#ddfbe6"/>
        </w:rPr>
        <w:tab/>
        <w:t>650</w:t>
        <w:tab/>
        <w:t>+</w:t>
        <w:tab/>
      </w:r>
      <w:r>
        <w:t>- Announced container and contentInstance</w:t>
      </w:r>
    </w:p>
    <w:p>
      <w:pPr>
        <w:pStyle w:val="CodeChangeLine"/>
        <w:tabs>
          <w:tab w:pos="567" w:val="left"/>
          <w:tab w:pos="1134" w:val="left"/>
          <w:tab w:pos="1247" w:val="left"/>
        </w:tabs>
        <w:shd w:val="clear" w:color="auto" w:fill="ecfdf0"/>
      </w:pPr>
      <w:r>
        <w:rPr>
          <w:color w:val="BFBFBF"/>
          <w:shd w:val="clear" w:color="auto" w:fill="#ddfbe6"/>
        </w:rPr>
        <w:tab/>
        <w:t>651</w:t>
        <w:tab/>
        <w:t>+</w:t>
        <w:tab/>
      </w:r>
      <w:r>
        <w:t>- Announced subscription</w:t>
      </w:r>
    </w:p>
    <w:p>
      <w:pPr>
        <w:pStyle w:val="CodeChangeLine"/>
        <w:tabs>
          <w:tab w:pos="567" w:val="left"/>
          <w:tab w:pos="1134" w:val="left"/>
          <w:tab w:pos="1247" w:val="left"/>
        </w:tabs>
        <w:shd w:val="clear" w:color="auto" w:fill="ecfdf0"/>
      </w:pPr>
      <w:r>
        <w:rPr>
          <w:color w:val="BFBFBF"/>
          <w:shd w:val="clear" w:color="auto" w:fill="#ddfbe6"/>
        </w:rPr>
        <w:tab/>
        <w:t>652</w:t>
        <w:tab/>
        <w:t>+</w:t>
        <w:tab/>
      </w:r>
      <w:r>
        <w:t>remoteCSE</w:t>
      </w:r>
    </w:p>
    <w:p>
      <w:pPr>
        <w:pStyle w:val="CodeChangeLine"/>
        <w:tabs>
          <w:tab w:pos="567" w:val="left"/>
          <w:tab w:pos="1134" w:val="left"/>
          <w:tab w:pos="1247" w:val="left"/>
        </w:tabs>
        <w:shd w:val="clear" w:color="auto" w:fill="ecfdf0"/>
      </w:pPr>
      <w:r>
        <w:rPr>
          <w:color w:val="BFBFBF"/>
          <w:shd w:val="clear" w:color="auto" w:fill="#ddfbe6"/>
        </w:rPr>
        <w:tab/>
        <w:t>653</w:t>
        <w:tab/>
        <w:t>+</w:t>
        <w:tab/>
      </w:r>
      <w:r/>
    </w:p>
    <w:p>
      <w:pPr>
        <w:pStyle w:val="CodeChangeLine"/>
        <w:tabs>
          <w:tab w:pos="567" w:val="left"/>
          <w:tab w:pos="1134" w:val="left"/>
          <w:tab w:pos="1247" w:val="left"/>
        </w:tabs>
        <w:shd w:val="clear" w:color="auto" w:fill="ecfdf0"/>
      </w:pPr>
      <w:r>
        <w:rPr>
          <w:color w:val="BFBFBF"/>
          <w:shd w:val="clear" w:color="auto" w:fill="#ddfbe6"/>
        </w:rPr>
        <w:tab/>
        <w:t>654</w:t>
        <w:tab/>
        <w:t>+</w:t>
        <w:tab/>
      </w:r>
      <w:r>
        <w:t>#### 7.2.2.4 No Defined Resolution of Serving MN-CSE for Downlink Interactions</w:t>
      </w:r>
    </w:p>
    <w:p>
      <w:pPr>
        <w:pStyle w:val="CodeChangeLine"/>
        <w:tabs>
          <w:tab w:pos="567" w:val="left"/>
          <w:tab w:pos="1134" w:val="left"/>
          <w:tab w:pos="1247" w:val="left"/>
        </w:tabs>
        <w:shd w:val="clear" w:color="auto" w:fill="ecfdf0"/>
      </w:pPr>
      <w:r>
        <w:rPr>
          <w:color w:val="BFBFBF"/>
          <w:shd w:val="clear" w:color="auto" w:fill="#ddfbe6"/>
        </w:rPr>
        <w:tab/>
        <w:t>655</w:t>
        <w:tab/>
        <w:t>+</w:t>
        <w:tab/>
      </w:r>
      <w:r/>
    </w:p>
    <w:p>
      <w:pPr>
        <w:pStyle w:val="CodeChangeLine"/>
        <w:tabs>
          <w:tab w:pos="567" w:val="left"/>
          <w:tab w:pos="1134" w:val="left"/>
          <w:tab w:pos="1247" w:val="left"/>
        </w:tabs>
        <w:shd w:val="clear" w:color="auto" w:fill="ecfdf0"/>
      </w:pPr>
      <w:r>
        <w:rPr>
          <w:color w:val="BFBFBF"/>
          <w:shd w:val="clear" w:color="auto" w:fill="#ddfbe6"/>
        </w:rPr>
        <w:tab/>
        <w:t>656</w:t>
        <w:tab/>
        <w:t>+</w:t>
        <w:tab/>
      </w:r>
      <w:r>
        <w:t>Gap boundary: This subclause focuses on authoritative serving-MN-CSE resolution and downlink targeting; candidate discovery/ranking is addressed in 7.2.2.6 and 7.2.2.7.</w:t>
      </w:r>
    </w:p>
    <w:p>
      <w:pPr>
        <w:pStyle w:val="CodeChangeLine"/>
        <w:tabs>
          <w:tab w:pos="567" w:val="left"/>
          <w:tab w:pos="1134" w:val="left"/>
          <w:tab w:pos="1247" w:val="left"/>
        </w:tabs>
        <w:shd w:val="clear" w:color="auto" w:fill="ecfdf0"/>
      </w:pPr>
      <w:r>
        <w:rPr>
          <w:color w:val="BFBFBF"/>
          <w:shd w:val="clear" w:color="auto" w:fill="#ddfbe6"/>
        </w:rPr>
        <w:tab/>
        <w:t>657</w:t>
        <w:tab/>
        <w:t>+</w:t>
        <w:tab/>
      </w:r>
      <w:r/>
    </w:p>
    <w:p>
      <w:pPr>
        <w:pStyle w:val="CodeChangeLine"/>
        <w:tabs>
          <w:tab w:pos="567" w:val="left"/>
          <w:tab w:pos="1134" w:val="left"/>
          <w:tab w:pos="1247" w:val="left"/>
        </w:tabs>
        <w:shd w:val="clear" w:color="auto" w:fill="ecfdf0"/>
      </w:pPr>
      <w:r>
        <w:rPr>
          <w:color w:val="BFBFBF"/>
          <w:shd w:val="clear" w:color="auto" w:fill="#ddfbe6"/>
        </w:rPr>
        <w:tab/>
        <w:t>658</w:t>
        <w:tab/>
        <w:t>+</w:t>
        <w:tab/>
      </w:r>
      <w:r>
        <w:t>During context handover, interactions initiated toward an AE—such as commands, configuration updates, or control requests—must be delivered to the currently serving MN-CSE.</w:t>
      </w:r>
    </w:p>
    <w:p>
      <w:pPr>
        <w:pStyle w:val="CodeChangeLine"/>
        <w:tabs>
          <w:tab w:pos="567" w:val="left"/>
          <w:tab w:pos="1134" w:val="left"/>
          <w:tab w:pos="1247" w:val="left"/>
        </w:tabs>
        <w:shd w:val="clear" w:color="auto" w:fill="ecfdf0"/>
      </w:pPr>
      <w:r>
        <w:rPr>
          <w:color w:val="BFBFBF"/>
          <w:shd w:val="clear" w:color="auto" w:fill="#ddfbe6"/>
        </w:rPr>
        <w:tab/>
        <w:t>659</w:t>
        <w:tab/>
        <w:t>+</w:t>
        <w:tab/>
      </w:r>
      <w:r/>
    </w:p>
    <w:p>
      <w:pPr>
        <w:pStyle w:val="CodeChangeLine"/>
        <w:tabs>
          <w:tab w:pos="567" w:val="left"/>
          <w:tab w:pos="1134" w:val="left"/>
          <w:tab w:pos="1247" w:val="left"/>
        </w:tabs>
        <w:shd w:val="clear" w:color="auto" w:fill="ecfdf0"/>
      </w:pPr>
      <w:r>
        <w:rPr>
          <w:color w:val="BFBFBF"/>
          <w:shd w:val="clear" w:color="auto" w:fill="#ddfbe6"/>
        </w:rPr>
        <w:tab/>
        <w:t>660</w:t>
        <w:tab/>
        <w:t>+</w:t>
        <w:tab/>
      </w:r>
      <w:r>
        <w:t>The oneM2M specifications do not define a mechanism for determining which MN-CSE is currently serving a given AE when its point of attachment changes. There is no standardized approach for redirecting or resolving downlink interactions during or after handover.</w:t>
      </w:r>
    </w:p>
    <w:p>
      <w:pPr>
        <w:pStyle w:val="CodeChangeLine"/>
        <w:tabs>
          <w:tab w:pos="567" w:val="left"/>
          <w:tab w:pos="1134" w:val="left"/>
          <w:tab w:pos="1247" w:val="left"/>
        </w:tabs>
        <w:shd w:val="clear" w:color="auto" w:fill="ecfdf0"/>
      </w:pPr>
      <w:r>
        <w:rPr>
          <w:color w:val="BFBFBF"/>
          <w:shd w:val="clear" w:color="auto" w:fill="#ddfbe6"/>
        </w:rPr>
        <w:tab/>
        <w:t>661</w:t>
        <w:tab/>
        <w:t>+</w:t>
        <w:tab/>
      </w:r>
      <w:r/>
    </w:p>
    <w:p>
      <w:pPr>
        <w:pStyle w:val="CodeChangeLine"/>
        <w:tabs>
          <w:tab w:pos="567" w:val="left"/>
          <w:tab w:pos="1134" w:val="left"/>
          <w:tab w:pos="1247" w:val="left"/>
        </w:tabs>
        <w:shd w:val="clear" w:color="auto" w:fill="ecfdf0"/>
      </w:pPr>
      <w:r>
        <w:rPr>
          <w:color w:val="BFBFBF"/>
          <w:shd w:val="clear" w:color="auto" w:fill="#ddfbe6"/>
        </w:rPr>
        <w:tab/>
        <w:t>662</w:t>
        <w:tab/>
        <w:t>+</w:t>
        <w:tab/>
      </w:r>
      <w:r>
        <w:t>![Fig 7.2.2.4-1](media/handover_7_2_2_4.png)</w:t>
      </w:r>
    </w:p>
    <w:p>
      <w:pPr>
        <w:pStyle w:val="CodeChangeLine"/>
        <w:tabs>
          <w:tab w:pos="567" w:val="left"/>
          <w:tab w:pos="1134" w:val="left"/>
          <w:tab w:pos="1247" w:val="left"/>
        </w:tabs>
        <w:shd w:val="clear" w:color="auto" w:fill="ecfdf0"/>
      </w:pPr>
      <w:r>
        <w:rPr>
          <w:color w:val="BFBFBF"/>
          <w:shd w:val="clear" w:color="auto" w:fill="#ddfbe6"/>
        </w:rPr>
        <w:tab/>
        <w:t>663</w:t>
        <w:tab/>
        <w:t>+</w:t>
        <w:tab/>
      </w:r>
      <w:r/>
    </w:p>
    <w:p>
      <w:pPr>
        <w:pStyle w:val="CodeChangeLine"/>
        <w:tabs>
          <w:tab w:pos="567" w:val="left"/>
          <w:tab w:pos="1134" w:val="left"/>
          <w:tab w:pos="1247" w:val="left"/>
        </w:tabs>
        <w:shd w:val="clear" w:color="auto" w:fill="ecfdf0"/>
      </w:pPr>
      <w:r>
        <w:rPr>
          <w:color w:val="BFBFBF"/>
          <w:shd w:val="clear" w:color="auto" w:fill="#ddfbe6"/>
        </w:rPr>
        <w:tab/>
        <w:t>664</w:t>
        <w:tab/>
        <w:t>+</w:t>
        <w:tab/>
      </w:r>
      <w:r>
        <w:t>**Fig 7.2.2.4-1 Resolution of Serving MN-CSE for Downlink Interactions**</w:t>
      </w:r>
    </w:p>
    <w:p>
      <w:pPr>
        <w:pStyle w:val="CodeChangeLine"/>
        <w:tabs>
          <w:tab w:pos="567" w:val="left"/>
          <w:tab w:pos="1134" w:val="left"/>
          <w:tab w:pos="1247" w:val="left"/>
        </w:tabs>
        <w:shd w:val="clear" w:color="auto" w:fill="ecfdf0"/>
      </w:pPr>
      <w:r>
        <w:rPr>
          <w:color w:val="BFBFBF"/>
          <w:shd w:val="clear" w:color="auto" w:fill="#ddfbe6"/>
        </w:rPr>
        <w:tab/>
        <w:t>665</w:t>
        <w:tab/>
        <w:t>+</w:t>
        <w:tab/>
      </w:r>
      <w:r/>
    </w:p>
    <w:p>
      <w:pPr>
        <w:pStyle w:val="CodeChangeLine"/>
        <w:tabs>
          <w:tab w:pos="567" w:val="left"/>
          <w:tab w:pos="1134" w:val="left"/>
          <w:tab w:pos="1247" w:val="left"/>
        </w:tabs>
        <w:shd w:val="clear" w:color="auto" w:fill="ecfdf0"/>
      </w:pPr>
      <w:r>
        <w:rPr>
          <w:color w:val="BFBFBF"/>
          <w:shd w:val="clear" w:color="auto" w:fill="#ddfbe6"/>
        </w:rPr>
        <w:tab/>
        <w:t>666</w:t>
        <w:tab/>
        <w:t>+</w:t>
        <w:tab/>
      </w:r>
      <w:r>
        <w:t>This creates ambiguity in request routing and may result in downlink interactions being sent to an MN-CSE that no longer serves the AE.</w:t>
      </w:r>
    </w:p>
    <w:p>
      <w:pPr>
        <w:pStyle w:val="CodeChangeLine"/>
        <w:tabs>
          <w:tab w:pos="567" w:val="left"/>
          <w:tab w:pos="1134" w:val="left"/>
          <w:tab w:pos="1247" w:val="left"/>
        </w:tabs>
        <w:shd w:val="clear" w:color="auto" w:fill="ecfdf0"/>
      </w:pPr>
      <w:r>
        <w:rPr>
          <w:color w:val="BFBFBF"/>
          <w:shd w:val="clear" w:color="auto" w:fill="#ddfbe6"/>
        </w:rPr>
        <w:tab/>
        <w:t>667</w:t>
        <w:tab/>
        <w:t>+</w:t>
        <w:tab/>
      </w:r>
      <w:r/>
    </w:p>
    <w:p>
      <w:pPr>
        <w:pStyle w:val="CodeChangeLine"/>
        <w:tabs>
          <w:tab w:pos="567" w:val="left"/>
          <w:tab w:pos="1134" w:val="left"/>
          <w:tab w:pos="1247" w:val="left"/>
        </w:tabs>
        <w:shd w:val="clear" w:color="auto" w:fill="ecfdf0"/>
      </w:pPr>
      <w:r>
        <w:rPr>
          <w:color w:val="BFBFBF"/>
          <w:shd w:val="clear" w:color="auto" w:fill="#ddfbe6"/>
        </w:rPr>
        <w:tab/>
        <w:t>668</w:t>
        <w:tab/>
        <w:t>+</w:t>
        <w:tab/>
      </w:r>
      <w:r>
        <w:t>**Possible Extensions to Related oneM2M Elements**</w:t>
      </w:r>
    </w:p>
    <w:p>
      <w:pPr>
        <w:pStyle w:val="CodeChangeLine"/>
        <w:tabs>
          <w:tab w:pos="567" w:val="left"/>
          <w:tab w:pos="1134" w:val="left"/>
          <w:tab w:pos="1247" w:val="left"/>
        </w:tabs>
        <w:shd w:val="clear" w:color="auto" w:fill="ecfdf0"/>
      </w:pPr>
      <w:r>
        <w:rPr>
          <w:color w:val="BFBFBF"/>
          <w:shd w:val="clear" w:color="auto" w:fill="#ddfbe6"/>
        </w:rPr>
        <w:tab/>
        <w:t>669</w:t>
        <w:tab/>
        <w:t>+</w:t>
        <w:tab/>
      </w:r>
      <w:r/>
    </w:p>
    <w:p>
      <w:pPr>
        <w:pStyle w:val="CodeChangeLine"/>
        <w:tabs>
          <w:tab w:pos="567" w:val="left"/>
          <w:tab w:pos="1134" w:val="left"/>
          <w:tab w:pos="1247" w:val="left"/>
        </w:tabs>
        <w:shd w:val="clear" w:color="auto" w:fill="ecfdf0"/>
      </w:pPr>
      <w:r>
        <w:rPr>
          <w:color w:val="BFBFBF"/>
          <w:shd w:val="clear" w:color="auto" w:fill="#ddfbe6"/>
        </w:rPr>
        <w:tab/>
        <w:t>670</w:t>
        <w:tab/>
        <w:t>+</w:t>
        <w:tab/>
      </w:r>
      <w:r>
        <w:t>- AE</w:t>
      </w:r>
    </w:p>
    <w:p>
      <w:pPr>
        <w:pStyle w:val="CodeChangeLine"/>
        <w:tabs>
          <w:tab w:pos="567" w:val="left"/>
          <w:tab w:pos="1134" w:val="left"/>
          <w:tab w:pos="1247" w:val="left"/>
        </w:tabs>
        <w:shd w:val="clear" w:color="auto" w:fill="ecfdf0"/>
      </w:pPr>
      <w:r>
        <w:rPr>
          <w:color w:val="BFBFBF"/>
          <w:shd w:val="clear" w:color="auto" w:fill="#ddfbe6"/>
        </w:rPr>
        <w:tab/>
        <w:t>671</w:t>
        <w:tab/>
        <w:t>+</w:t>
        <w:tab/>
      </w:r>
      <w:r>
        <w:t>- request routing via CSEBase</w:t>
      </w:r>
    </w:p>
    <w:p>
      <w:pPr>
        <w:pStyle w:val="CodeChangeLine"/>
        <w:tabs>
          <w:tab w:pos="567" w:val="left"/>
          <w:tab w:pos="1134" w:val="left"/>
          <w:tab w:pos="1247" w:val="left"/>
        </w:tabs>
        <w:shd w:val="clear" w:color="auto" w:fill="ecfdf0"/>
      </w:pPr>
      <w:r>
        <w:rPr>
          <w:color w:val="BFBFBF"/>
          <w:shd w:val="clear" w:color="auto" w:fill="#ddfbe6"/>
        </w:rPr>
        <w:tab/>
        <w:t>672</w:t>
        <w:tab/>
        <w:t>+</w:t>
        <w:tab/>
      </w:r>
      <w:r>
        <w:t>- subscription</w:t>
      </w:r>
    </w:p>
    <w:p>
      <w:pPr>
        <w:pStyle w:val="CodeChangeLine"/>
        <w:tabs>
          <w:tab w:pos="567" w:val="left"/>
          <w:tab w:pos="1134" w:val="left"/>
          <w:tab w:pos="1247" w:val="left"/>
        </w:tabs>
        <w:shd w:val="clear" w:color="auto" w:fill="ecfdf0"/>
      </w:pPr>
      <w:r>
        <w:rPr>
          <w:color w:val="BFBFBF"/>
          <w:shd w:val="clear" w:color="auto" w:fill="#ddfbe6"/>
        </w:rPr>
        <w:tab/>
        <w:t>673</w:t>
        <w:tab/>
        <w:t>+</w:t>
        <w:tab/>
      </w:r>
      <w:r>
        <w:t>- remoteCSE</w:t>
      </w:r>
    </w:p>
    <w:p>
      <w:pPr>
        <w:pStyle w:val="CodeChangeLine"/>
        <w:tabs>
          <w:tab w:pos="567" w:val="left"/>
          <w:tab w:pos="1134" w:val="left"/>
          <w:tab w:pos="1247" w:val="left"/>
        </w:tabs>
        <w:shd w:val="clear" w:color="auto" w:fill="ecfdf0"/>
      </w:pPr>
      <w:r>
        <w:rPr>
          <w:color w:val="BFBFBF"/>
          <w:shd w:val="clear" w:color="auto" w:fill="#ddfbe6"/>
        </w:rPr>
        <w:tab/>
        <w:t>674</w:t>
        <w:tab/>
        <w:t>+</w:t>
        <w:tab/>
      </w:r>
      <w:r>
        <w:t>- group</w:t>
      </w:r>
    </w:p>
    <w:p>
      <w:pPr>
        <w:pStyle w:val="CodeChangeLine"/>
        <w:tabs>
          <w:tab w:pos="567" w:val="left"/>
          <w:tab w:pos="1134" w:val="left"/>
          <w:tab w:pos="1247" w:val="left"/>
        </w:tabs>
        <w:shd w:val="clear" w:color="auto" w:fill="ecfdf0"/>
      </w:pPr>
      <w:r>
        <w:rPr>
          <w:color w:val="BFBFBF"/>
          <w:shd w:val="clear" w:color="auto" w:fill="#ddfbe6"/>
        </w:rPr>
        <w:tab/>
        <w:t>675</w:t>
        <w:tab/>
        <w:t>+</w:t>
        <w:tab/>
      </w:r>
      <w:r/>
    </w:p>
    <w:p>
      <w:pPr>
        <w:pStyle w:val="CodeChangeLine"/>
        <w:tabs>
          <w:tab w:pos="567" w:val="left"/>
          <w:tab w:pos="1134" w:val="left"/>
          <w:tab w:pos="1247" w:val="left"/>
        </w:tabs>
        <w:shd w:val="clear" w:color="auto" w:fill="ecfdf0"/>
      </w:pPr>
      <w:r>
        <w:rPr>
          <w:color w:val="BFBFBF"/>
          <w:shd w:val="clear" w:color="auto" w:fill="#ddfbe6"/>
        </w:rPr>
        <w:tab/>
        <w:t>676</w:t>
        <w:tab/>
        <w:t>+</w:t>
        <w:tab/>
      </w:r>
      <w:r>
        <w:t>#### 7.2.2.5 Lack of Normative Enforcement of Single-CSE AE Registration</w:t>
      </w:r>
    </w:p>
    <w:p>
      <w:pPr>
        <w:pStyle w:val="CodeChangeLine"/>
        <w:tabs>
          <w:tab w:pos="567" w:val="left"/>
          <w:tab w:pos="1134" w:val="left"/>
          <w:tab w:pos="1247" w:val="left"/>
        </w:tabs>
        <w:shd w:val="clear" w:color="auto" w:fill="ecfdf0"/>
      </w:pPr>
      <w:r>
        <w:rPr>
          <w:color w:val="BFBFBF"/>
          <w:shd w:val="clear" w:color="auto" w:fill="#ddfbe6"/>
        </w:rPr>
        <w:tab/>
        <w:t>677</w:t>
        <w:tab/>
        <w:t>+</w:t>
        <w:tab/>
      </w:r>
      <w:r/>
    </w:p>
    <w:p>
      <w:pPr>
        <w:pStyle w:val="CodeChangeLine"/>
        <w:tabs>
          <w:tab w:pos="567" w:val="left"/>
          <w:tab w:pos="1134" w:val="left"/>
          <w:tab w:pos="1247" w:val="left"/>
        </w:tabs>
        <w:shd w:val="clear" w:color="auto" w:fill="ecfdf0"/>
      </w:pPr>
      <w:r>
        <w:rPr>
          <w:color w:val="BFBFBF"/>
          <w:shd w:val="clear" w:color="auto" w:fill="#ddfbe6"/>
        </w:rPr>
        <w:tab/>
        <w:t>678</w:t>
        <w:tab/>
        <w:t>+</w:t>
        <w:tab/>
      </w:r>
      <w:r>
        <w:t>Gap boundary: This subclause focuses on prevention/detection/reconciliation of concurrent registrations and complements 7.2.2.1 and 7.2.2.4.</w:t>
      </w:r>
    </w:p>
    <w:p>
      <w:pPr>
        <w:pStyle w:val="CodeChangeLine"/>
        <w:tabs>
          <w:tab w:pos="567" w:val="left"/>
          <w:tab w:pos="1134" w:val="left"/>
          <w:tab w:pos="1247" w:val="left"/>
        </w:tabs>
        <w:shd w:val="clear" w:color="auto" w:fill="ecfdf0"/>
      </w:pPr>
      <w:r>
        <w:rPr>
          <w:color w:val="BFBFBF"/>
          <w:shd w:val="clear" w:color="auto" w:fill="#ddfbe6"/>
        </w:rPr>
        <w:tab/>
        <w:t>679</w:t>
        <w:tab/>
        <w:t>+</w:t>
        <w:tab/>
      </w:r>
      <w:r/>
    </w:p>
    <w:p>
      <w:pPr>
        <w:pStyle w:val="CodeChangeLine"/>
        <w:tabs>
          <w:tab w:pos="567" w:val="left"/>
          <w:tab w:pos="1134" w:val="left"/>
          <w:tab w:pos="1247" w:val="left"/>
        </w:tabs>
        <w:shd w:val="clear" w:color="auto" w:fill="ecfdf0"/>
      </w:pPr>
      <w:r>
        <w:rPr>
          <w:color w:val="BFBFBF"/>
          <w:shd w:val="clear" w:color="auto" w:fill="#ddfbe6"/>
        </w:rPr>
        <w:tab/>
        <w:t>680</w:t>
        <w:tab/>
        <w:t>+</w:t>
        <w:tab/>
      </w:r>
      <w:r>
        <w:t>oneM2M specifications describe a constraint that an Application Entity (AE) is registered to a single serving Common Services Entity (CSE) at a given time. This constraint is fundamental to maintaining unambiguous service relationships, consistent lifecycle behavior, and predictable request routing within the oneM2M system.</w:t>
      </w:r>
    </w:p>
    <w:p>
      <w:pPr>
        <w:pStyle w:val="CodeChangeLine"/>
        <w:tabs>
          <w:tab w:pos="567" w:val="left"/>
          <w:tab w:pos="1134" w:val="left"/>
          <w:tab w:pos="1247" w:val="left"/>
        </w:tabs>
        <w:shd w:val="clear" w:color="auto" w:fill="ecfdf0"/>
      </w:pPr>
      <w:r>
        <w:rPr>
          <w:color w:val="BFBFBF"/>
          <w:shd w:val="clear" w:color="auto" w:fill="#ddfbe6"/>
        </w:rPr>
        <w:tab/>
        <w:t>681</w:t>
        <w:tab/>
        <w:t>+</w:t>
        <w:tab/>
      </w:r>
      <w:r/>
    </w:p>
    <w:p>
      <w:pPr>
        <w:pStyle w:val="CodeChangeLine"/>
        <w:tabs>
          <w:tab w:pos="567" w:val="left"/>
          <w:tab w:pos="1134" w:val="left"/>
          <w:tab w:pos="1247" w:val="left"/>
        </w:tabs>
        <w:shd w:val="clear" w:color="auto" w:fill="ecfdf0"/>
      </w:pPr>
      <w:r>
        <w:rPr>
          <w:color w:val="BFBFBF"/>
          <w:shd w:val="clear" w:color="auto" w:fill="#ddfbe6"/>
        </w:rPr>
        <w:tab/>
        <w:t>682</w:t>
        <w:tab/>
        <w:t>+</w:t>
        <w:tab/>
      </w:r>
      <w:r>
        <w:t>However, the specifications do not define a normative mechanism to enforce this constraint across distributed deployments involving multiple CSEs. Registration procedures are defined locally at each CSE, and there is no standardized method by which a CSE can determine whether an AE is already registered with another CSE at the time a new registration request is processed.</w:t>
      </w:r>
    </w:p>
    <w:p>
      <w:pPr>
        <w:pStyle w:val="CodeChangeLine"/>
        <w:tabs>
          <w:tab w:pos="567" w:val="left"/>
          <w:tab w:pos="1134" w:val="left"/>
          <w:tab w:pos="1247" w:val="left"/>
        </w:tabs>
        <w:shd w:val="clear" w:color="auto" w:fill="ecfdf0"/>
      </w:pPr>
      <w:r>
        <w:rPr>
          <w:color w:val="BFBFBF"/>
          <w:shd w:val="clear" w:color="auto" w:fill="#ddfbe6"/>
        </w:rPr>
        <w:tab/>
        <w:t>683</w:t>
        <w:tab/>
        <w:t>+</w:t>
        <w:tab/>
      </w:r>
      <w:r/>
    </w:p>
    <w:p>
      <w:pPr>
        <w:pStyle w:val="CodeChangeLine"/>
        <w:tabs>
          <w:tab w:pos="567" w:val="left"/>
          <w:tab w:pos="1134" w:val="left"/>
          <w:tab w:pos="1247" w:val="left"/>
        </w:tabs>
        <w:shd w:val="clear" w:color="auto" w:fill="ecfdf0"/>
      </w:pPr>
      <w:r>
        <w:rPr>
          <w:color w:val="BFBFBF"/>
          <w:shd w:val="clear" w:color="auto" w:fill="#ddfbe6"/>
        </w:rPr>
        <w:tab/>
        <w:t>684</w:t>
        <w:tab/>
        <w:t>+</w:t>
        <w:tab/>
      </w:r>
      <w:r>
        <w:t>![Fig 7.2.2.5-1](media/handover_7_2_2_5.png)</w:t>
      </w:r>
    </w:p>
    <w:p>
      <w:pPr>
        <w:pStyle w:val="CodeChangeLine"/>
        <w:tabs>
          <w:tab w:pos="567" w:val="left"/>
          <w:tab w:pos="1134" w:val="left"/>
          <w:tab w:pos="1247" w:val="left"/>
        </w:tabs>
        <w:shd w:val="clear" w:color="auto" w:fill="ecfdf0"/>
      </w:pPr>
      <w:r>
        <w:rPr>
          <w:color w:val="BFBFBF"/>
          <w:shd w:val="clear" w:color="auto" w:fill="#ddfbe6"/>
        </w:rPr>
        <w:tab/>
        <w:t>685</w:t>
        <w:tab/>
        <w:t>+</w:t>
        <w:tab/>
      </w:r>
      <w:r/>
    </w:p>
    <w:p>
      <w:pPr>
        <w:pStyle w:val="CodeChangeLine"/>
        <w:tabs>
          <w:tab w:pos="567" w:val="left"/>
          <w:tab w:pos="1134" w:val="left"/>
          <w:tab w:pos="1247" w:val="left"/>
        </w:tabs>
        <w:shd w:val="clear" w:color="auto" w:fill="ecfdf0"/>
      </w:pPr>
      <w:r>
        <w:rPr>
          <w:color w:val="BFBFBF"/>
          <w:shd w:val="clear" w:color="auto" w:fill="#ddfbe6"/>
        </w:rPr>
        <w:tab/>
        <w:t>686</w:t>
        <w:tab/>
        <w:t>+</w:t>
        <w:tab/>
      </w:r>
      <w:r>
        <w:t>**Fig 7.2.2.5-1 Lack of Normative Enforcement of Single-CSE AE Registration**</w:t>
      </w:r>
    </w:p>
    <w:p>
      <w:pPr>
        <w:pStyle w:val="CodeChangeLine"/>
        <w:tabs>
          <w:tab w:pos="567" w:val="left"/>
          <w:tab w:pos="1134" w:val="left"/>
          <w:tab w:pos="1247" w:val="left"/>
        </w:tabs>
        <w:shd w:val="clear" w:color="auto" w:fill="ecfdf0"/>
      </w:pPr>
      <w:r>
        <w:rPr>
          <w:color w:val="BFBFBF"/>
          <w:shd w:val="clear" w:color="auto" w:fill="#ddfbe6"/>
        </w:rPr>
        <w:tab/>
        <w:t>687</w:t>
        <w:tab/>
        <w:t>+</w:t>
        <w:tab/>
      </w:r>
      <w:r/>
    </w:p>
    <w:p>
      <w:pPr>
        <w:pStyle w:val="CodeChangeLine"/>
        <w:tabs>
          <w:tab w:pos="567" w:val="left"/>
          <w:tab w:pos="1134" w:val="left"/>
          <w:tab w:pos="1247" w:val="left"/>
        </w:tabs>
        <w:shd w:val="clear" w:color="auto" w:fill="ecfdf0"/>
      </w:pPr>
      <w:r>
        <w:rPr>
          <w:color w:val="BFBFBF"/>
          <w:shd w:val="clear" w:color="auto" w:fill="#ddfbe6"/>
        </w:rPr>
        <w:tab/>
        <w:t>688</w:t>
        <w:tab/>
        <w:t>+</w:t>
        <w:tab/>
      </w:r>
      <w:r>
        <w:t>As a result, concurrent registration of the same AE at multiple MN-CSEs may occur, either intentionally or due to timing and race conditions during context handover. In such situations, multiple CSEs may independently assume they are the serving CSE for the same AE, despite the conceptual constraint that only a single serving relationship should exist.</w:t>
      </w:r>
    </w:p>
    <w:p>
      <w:pPr>
        <w:pStyle w:val="CodeChangeLine"/>
        <w:tabs>
          <w:tab w:pos="567" w:val="left"/>
          <w:tab w:pos="1134" w:val="left"/>
          <w:tab w:pos="1247" w:val="left"/>
        </w:tabs>
        <w:shd w:val="clear" w:color="auto" w:fill="ecfdf0"/>
      </w:pPr>
      <w:r>
        <w:rPr>
          <w:color w:val="BFBFBF"/>
          <w:shd w:val="clear" w:color="auto" w:fill="#ddfbe6"/>
        </w:rPr>
        <w:tab/>
        <w:t>689</w:t>
        <w:tab/>
        <w:t>+</w:t>
        <w:tab/>
      </w:r>
      <w:r/>
    </w:p>
    <w:p>
      <w:pPr>
        <w:pStyle w:val="CodeChangeLine"/>
        <w:tabs>
          <w:tab w:pos="567" w:val="left"/>
          <w:tab w:pos="1134" w:val="left"/>
          <w:tab w:pos="1247" w:val="left"/>
        </w:tabs>
        <w:shd w:val="clear" w:color="auto" w:fill="ecfdf0"/>
      </w:pPr>
      <w:r>
        <w:rPr>
          <w:color w:val="BFBFBF"/>
          <w:shd w:val="clear" w:color="auto" w:fill="#ddfbe6"/>
        </w:rPr>
        <w:tab/>
        <w:t>690</w:t>
        <w:tab/>
        <w:t>+</w:t>
        <w:tab/>
      </w:r>
      <w:r>
        <w:t>The specifications do not define how such conditions are to be detected, prevented, or resolved. There is no normative guidance on arbitration, rejection, or reconciliation of concurrent registrations, nor is there a defined authority responsible for maintaining global awareness of an AE’s serving CSE.</w:t>
      </w:r>
    </w:p>
    <w:p>
      <w:pPr>
        <w:pStyle w:val="CodeChangeLine"/>
        <w:tabs>
          <w:tab w:pos="567" w:val="left"/>
          <w:tab w:pos="1134" w:val="left"/>
          <w:tab w:pos="1247" w:val="left"/>
        </w:tabs>
        <w:shd w:val="clear" w:color="auto" w:fill="ecfdf0"/>
      </w:pPr>
      <w:r>
        <w:rPr>
          <w:color w:val="BFBFBF"/>
          <w:shd w:val="clear" w:color="auto" w:fill="#ddfbe6"/>
        </w:rPr>
        <w:tab/>
        <w:t>691</w:t>
        <w:tab/>
        <w:t>+</w:t>
        <w:tab/>
      </w:r>
      <w:r/>
    </w:p>
    <w:p>
      <w:pPr>
        <w:pStyle w:val="CodeChangeLine"/>
        <w:tabs>
          <w:tab w:pos="567" w:val="left"/>
          <w:tab w:pos="1134" w:val="left"/>
          <w:tab w:pos="1247" w:val="left"/>
        </w:tabs>
        <w:shd w:val="clear" w:color="auto" w:fill="ecfdf0"/>
      </w:pPr>
      <w:r>
        <w:rPr>
          <w:color w:val="BFBFBF"/>
          <w:shd w:val="clear" w:color="auto" w:fill="#ddfbe6"/>
        </w:rPr>
        <w:tab/>
        <w:t>692</w:t>
        <w:tab/>
        <w:t>+</w:t>
        <w:tab/>
      </w:r>
      <w:r>
        <w:t>This absence of enforcement semantics introduces ambiguity in AE lifecycle management, request routing, subscription handling, and access control evaluation. It further complicates mobility and context handover scenarios by allowing transient or persistent system states that violate stated assumptions of single-CSE AE registration.</w:t>
      </w:r>
    </w:p>
    <w:p>
      <w:pPr>
        <w:pStyle w:val="CodeChangeLine"/>
        <w:tabs>
          <w:tab w:pos="567" w:val="left"/>
          <w:tab w:pos="1134" w:val="left"/>
          <w:tab w:pos="1247" w:val="left"/>
        </w:tabs>
        <w:shd w:val="clear" w:color="auto" w:fill="ecfdf0"/>
      </w:pPr>
      <w:r>
        <w:rPr>
          <w:color w:val="BFBFBF"/>
          <w:shd w:val="clear" w:color="auto" w:fill="#ddfbe6"/>
        </w:rPr>
        <w:tab/>
        <w:t>693</w:t>
        <w:tab/>
        <w:t>+</w:t>
        <w:tab/>
      </w:r>
      <w:r/>
    </w:p>
    <w:p>
      <w:pPr>
        <w:pStyle w:val="CodeChangeLine"/>
        <w:tabs>
          <w:tab w:pos="567" w:val="left"/>
          <w:tab w:pos="1134" w:val="left"/>
          <w:tab w:pos="1247" w:val="left"/>
        </w:tabs>
        <w:shd w:val="clear" w:color="auto" w:fill="ecfdf0"/>
      </w:pPr>
      <w:r>
        <w:rPr>
          <w:color w:val="BFBFBF"/>
          <w:shd w:val="clear" w:color="auto" w:fill="#ddfbe6"/>
        </w:rPr>
        <w:tab/>
        <w:t>694</w:t>
        <w:tab/>
        <w:t>+</w:t>
        <w:tab/>
      </w:r>
      <w:r>
        <w:t>**Possible Extensions to Related oneM2M Elements**</w:t>
      </w:r>
    </w:p>
    <w:p>
      <w:pPr>
        <w:pStyle w:val="CodeChangeLine"/>
        <w:tabs>
          <w:tab w:pos="567" w:val="left"/>
          <w:tab w:pos="1134" w:val="left"/>
          <w:tab w:pos="1247" w:val="left"/>
        </w:tabs>
        <w:shd w:val="clear" w:color="auto" w:fill="ecfdf0"/>
      </w:pPr>
      <w:r>
        <w:rPr>
          <w:color w:val="BFBFBF"/>
          <w:shd w:val="clear" w:color="auto" w:fill="#ddfbe6"/>
        </w:rPr>
        <w:tab/>
        <w:t>695</w:t>
        <w:tab/>
        <w:t>+</w:t>
        <w:tab/>
      </w:r>
      <w:r>
        <w:t>- AE registration and deregistration procedures</w:t>
      </w:r>
    </w:p>
    <w:p>
      <w:pPr>
        <w:pStyle w:val="CodeChangeLine"/>
        <w:tabs>
          <w:tab w:pos="567" w:val="left"/>
          <w:tab w:pos="1134" w:val="left"/>
          <w:tab w:pos="1247" w:val="left"/>
        </w:tabs>
        <w:shd w:val="clear" w:color="auto" w:fill="ecfdf0"/>
      </w:pPr>
      <w:r>
        <w:rPr>
          <w:color w:val="BFBFBF"/>
          <w:shd w:val="clear" w:color="auto" w:fill="#ddfbe6"/>
        </w:rPr>
        <w:tab/>
        <w:t>696</w:t>
        <w:tab/>
        <w:t>+</w:t>
        <w:tab/>
      </w:r>
      <w:r>
        <w:t>- CSEBase request handling</w:t>
      </w:r>
    </w:p>
    <w:p>
      <w:pPr>
        <w:pStyle w:val="CodeChangeLine"/>
        <w:tabs>
          <w:tab w:pos="567" w:val="left"/>
          <w:tab w:pos="1134" w:val="left"/>
          <w:tab w:pos="1247" w:val="left"/>
        </w:tabs>
        <w:shd w:val="clear" w:color="auto" w:fill="ecfdf0"/>
      </w:pPr>
      <w:r>
        <w:rPr>
          <w:color w:val="BFBFBF"/>
          <w:shd w:val="clear" w:color="auto" w:fill="#ddfbe6"/>
        </w:rPr>
        <w:tab/>
        <w:t>697</w:t>
        <w:tab/>
        <w:t>+</w:t>
        <w:tab/>
      </w:r>
      <w:r>
        <w:t>- remoteCSE relationships</w:t>
      </w:r>
    </w:p>
    <w:p>
      <w:pPr>
        <w:pStyle w:val="CodeChangeLine"/>
        <w:tabs>
          <w:tab w:pos="567" w:val="left"/>
          <w:tab w:pos="1134" w:val="left"/>
          <w:tab w:pos="1247" w:val="left"/>
        </w:tabs>
        <w:shd w:val="clear" w:color="auto" w:fill="ecfdf0"/>
      </w:pPr>
      <w:r>
        <w:rPr>
          <w:color w:val="BFBFBF"/>
          <w:shd w:val="clear" w:color="auto" w:fill="#ddfbe6"/>
        </w:rPr>
        <w:tab/>
        <w:t>698</w:t>
        <w:tab/>
        <w:t>+</w:t>
        <w:tab/>
      </w:r>
      <w:r>
        <w:t>- subscription</w:t>
      </w:r>
    </w:p>
    <w:p>
      <w:pPr>
        <w:pStyle w:val="CodeChangeLine"/>
        <w:tabs>
          <w:tab w:pos="567" w:val="left"/>
          <w:tab w:pos="1134" w:val="left"/>
          <w:tab w:pos="1247" w:val="left"/>
        </w:tabs>
        <w:shd w:val="clear" w:color="auto" w:fill="ecfdf0"/>
      </w:pPr>
      <w:r>
        <w:rPr>
          <w:color w:val="BFBFBF"/>
          <w:shd w:val="clear" w:color="auto" w:fill="#ddfbe6"/>
        </w:rPr>
        <w:tab/>
        <w:t>699</w:t>
        <w:tab/>
        <w:t>+</w:t>
        <w:tab/>
      </w:r>
      <w:r>
        <w:t>- accessControlPolicy</w:t>
      </w:r>
    </w:p>
    <w:p>
      <w:pPr>
        <w:pStyle w:val="CodeChangeLine"/>
        <w:tabs>
          <w:tab w:pos="567" w:val="left"/>
          <w:tab w:pos="1134" w:val="left"/>
          <w:tab w:pos="1247" w:val="left"/>
        </w:tabs>
        <w:shd w:val="clear" w:color="auto" w:fill="ecfdf0"/>
      </w:pPr>
      <w:r>
        <w:rPr>
          <w:color w:val="BFBFBF"/>
          <w:shd w:val="clear" w:color="auto" w:fill="#ddfbe6"/>
        </w:rPr>
        <w:tab/>
        <w:t>700</w:t>
        <w:tab/>
        <w:t>+</w:t>
        <w:tab/>
      </w:r>
      <w:r>
        <w:t>- group</w:t>
      </w:r>
    </w:p>
    <w:p>
      <w:pPr>
        <w:pStyle w:val="CodeChangeLine"/>
        <w:tabs>
          <w:tab w:pos="567" w:val="left"/>
          <w:tab w:pos="1134" w:val="left"/>
          <w:tab w:pos="1247" w:val="left"/>
        </w:tabs>
        <w:shd w:val="clear" w:color="auto" w:fill="ecfdf0"/>
      </w:pPr>
      <w:r>
        <w:rPr>
          <w:color w:val="BFBFBF"/>
          <w:shd w:val="clear" w:color="auto" w:fill="#ddfbe6"/>
        </w:rPr>
        <w:tab/>
        <w:t>701</w:t>
        <w:tab/>
        <w:t>+</w:t>
        <w:tab/>
      </w:r>
      <w:r/>
    </w:p>
    <w:p>
      <w:pPr>
        <w:pStyle w:val="CodeChangeLine"/>
        <w:tabs>
          <w:tab w:pos="567" w:val="left"/>
          <w:tab w:pos="1134" w:val="left"/>
          <w:tab w:pos="1247" w:val="left"/>
        </w:tabs>
        <w:shd w:val="clear" w:color="auto" w:fill="ecfdf0"/>
      </w:pPr>
      <w:r>
        <w:rPr>
          <w:color w:val="BFBFBF"/>
          <w:shd w:val="clear" w:color="auto" w:fill="#ddfbe6"/>
        </w:rPr>
        <w:tab/>
        <w:t>702</w:t>
        <w:tab/>
        <w:t>+</w:t>
        <w:tab/>
      </w:r>
      <w:r>
        <w:t>#### 7.2.2.6 Lack of Service Registry and Discovery Mechanism for Mobility-Aware Handover</w:t>
      </w:r>
    </w:p>
    <w:p>
      <w:pPr>
        <w:pStyle w:val="CodeChangeLine"/>
        <w:tabs>
          <w:tab w:pos="567" w:val="left"/>
          <w:tab w:pos="1134" w:val="left"/>
          <w:tab w:pos="1247" w:val="left"/>
        </w:tabs>
        <w:shd w:val="clear" w:color="auto" w:fill="ecfdf0"/>
      </w:pPr>
      <w:r>
        <w:rPr>
          <w:color w:val="BFBFBF"/>
          <w:shd w:val="clear" w:color="auto" w:fill="#ddfbe6"/>
        </w:rPr>
        <w:tab/>
        <w:t>703</w:t>
        <w:tab/>
        <w:t>+</w:t>
        <w:tab/>
      </w:r>
      <w:r/>
    </w:p>
    <w:p>
      <w:pPr>
        <w:pStyle w:val="CodeChangeLine"/>
        <w:tabs>
          <w:tab w:pos="567" w:val="left"/>
          <w:tab w:pos="1134" w:val="left"/>
          <w:tab w:pos="1247" w:val="left"/>
        </w:tabs>
        <w:shd w:val="clear" w:color="auto" w:fill="ecfdf0"/>
      </w:pPr>
      <w:r>
        <w:rPr>
          <w:color w:val="BFBFBF"/>
          <w:shd w:val="clear" w:color="auto" w:fill="#ddfbe6"/>
        </w:rPr>
        <w:tab/>
        <w:t>704</w:t>
        <w:tab/>
        <w:t>+</w:t>
        <w:tab/>
      </w:r>
      <w:r>
        <w:t>Gap boundary: This subclause focuses on discovery coverage and metadata comparability across candidate targets; deterministic multi-candidate selection behavior is covered in 7.2.2.7.</w:t>
      </w:r>
    </w:p>
    <w:p>
      <w:pPr>
        <w:pStyle w:val="CodeChangeLine"/>
        <w:tabs>
          <w:tab w:pos="567" w:val="left"/>
          <w:tab w:pos="1134" w:val="left"/>
          <w:tab w:pos="1247" w:val="left"/>
        </w:tabs>
        <w:shd w:val="clear" w:color="auto" w:fill="ecfdf0"/>
      </w:pPr>
      <w:r>
        <w:rPr>
          <w:color w:val="BFBFBF"/>
          <w:shd w:val="clear" w:color="auto" w:fill="#ddfbe6"/>
        </w:rPr>
        <w:tab/>
        <w:t>705</w:t>
        <w:tab/>
        <w:t>+</w:t>
        <w:tab/>
      </w:r>
      <w:r/>
    </w:p>
    <w:p>
      <w:pPr>
        <w:pStyle w:val="CodeChangeLine"/>
        <w:tabs>
          <w:tab w:pos="567" w:val="left"/>
          <w:tab w:pos="1134" w:val="left"/>
          <w:tab w:pos="1247" w:val="left"/>
        </w:tabs>
        <w:shd w:val="clear" w:color="auto" w:fill="ecfdf0"/>
      </w:pPr>
      <w:r>
        <w:rPr>
          <w:color w:val="BFBFBF"/>
          <w:shd w:val="clear" w:color="auto" w:fill="#ddfbe6"/>
        </w:rPr>
        <w:tab/>
        <w:t>706</w:t>
        <w:tab/>
        <w:t>+</w:t>
        <w:tab/>
      </w:r>
      <w:r>
        <w:t>Current specifications do not define a unified service registry and discovery model that covers all valid MN-CSE handover targets.</w:t>
      </w:r>
    </w:p>
    <w:p>
      <w:pPr>
        <w:pStyle w:val="CodeChangeLine"/>
        <w:tabs>
          <w:tab w:pos="567" w:val="left"/>
          <w:tab w:pos="1134" w:val="left"/>
          <w:tab w:pos="1247" w:val="left"/>
        </w:tabs>
        <w:shd w:val="clear" w:color="auto" w:fill="ecfdf0"/>
      </w:pPr>
      <w:r>
        <w:rPr>
          <w:color w:val="BFBFBF"/>
          <w:shd w:val="clear" w:color="auto" w:fill="#ddfbe6"/>
        </w:rPr>
        <w:tab/>
        <w:t>707</w:t>
        <w:tab/>
        <w:t>+</w:t>
        <w:tab/>
      </w:r>
      <w:r/>
    </w:p>
    <w:p>
      <w:pPr>
        <w:pStyle w:val="CodeChangeLine"/>
        <w:tabs>
          <w:tab w:pos="567" w:val="left"/>
          <w:tab w:pos="1134" w:val="left"/>
          <w:tab w:pos="1247" w:val="left"/>
        </w:tabs>
        <w:shd w:val="clear" w:color="auto" w:fill="ecfdf0"/>
      </w:pPr>
      <w:r>
        <w:rPr>
          <w:color w:val="BFBFBF"/>
          <w:shd w:val="clear" w:color="auto" w:fill="#ddfbe6"/>
        </w:rPr>
        <w:tab/>
        <w:t>708</w:t>
        <w:tab/>
        <w:t>+</w:t>
        <w:tab/>
      </w:r>
      <w:r>
        <w:t>For mobility-aware handover, the target MN-CSE may belong to any of the following classes:</w:t>
      </w:r>
    </w:p>
    <w:p>
      <w:pPr>
        <w:pStyle w:val="CodeChangeLine"/>
        <w:tabs>
          <w:tab w:pos="567" w:val="left"/>
          <w:tab w:pos="1134" w:val="left"/>
          <w:tab w:pos="1247" w:val="left"/>
        </w:tabs>
        <w:shd w:val="clear" w:color="auto" w:fill="ecfdf0"/>
      </w:pPr>
      <w:r>
        <w:rPr>
          <w:color w:val="BFBFBF"/>
          <w:shd w:val="clear" w:color="auto" w:fill="#ddfbe6"/>
        </w:rPr>
        <w:tab/>
        <w:t>709</w:t>
        <w:tab/>
        <w:t>+</w:t>
        <w:tab/>
      </w:r>
      <w:r/>
    </w:p>
    <w:p>
      <w:pPr>
        <w:pStyle w:val="CodeChangeLine"/>
        <w:tabs>
          <w:tab w:pos="567" w:val="left"/>
          <w:tab w:pos="1134" w:val="left"/>
          <w:tab w:pos="1247" w:val="left"/>
        </w:tabs>
        <w:shd w:val="clear" w:color="auto" w:fill="ecfdf0"/>
      </w:pPr>
      <w:r>
        <w:rPr>
          <w:color w:val="BFBFBF"/>
          <w:shd w:val="clear" w:color="auto" w:fill="#ddfbe6"/>
        </w:rPr>
        <w:tab/>
        <w:t>710</w:t>
        <w:tab/>
        <w:t>+</w:t>
        <w:tab/>
      </w:r>
      <w:r>
        <w:t>1. MEC-hosted MN-CSE that is already instantiated and registered to the IN-CSE.</w:t>
      </w:r>
    </w:p>
    <w:p>
      <w:pPr>
        <w:pStyle w:val="CodeChangeLine"/>
        <w:tabs>
          <w:tab w:pos="567" w:val="left"/>
          <w:tab w:pos="1134" w:val="left"/>
          <w:tab w:pos="1247" w:val="left"/>
        </w:tabs>
        <w:shd w:val="clear" w:color="auto" w:fill="ecfdf0"/>
      </w:pPr>
      <w:r>
        <w:rPr>
          <w:color w:val="BFBFBF"/>
          <w:shd w:val="clear" w:color="auto" w:fill="#ddfbe6"/>
        </w:rPr>
        <w:tab/>
        <w:t>711</w:t>
        <w:tab/>
        <w:t>+</w:t>
        <w:tab/>
      </w:r>
      <w:r>
        <w:t>2. MEC-hosted MN-CSE that is provisioned but not yet instantiated.</w:t>
      </w:r>
    </w:p>
    <w:p>
      <w:pPr>
        <w:pStyle w:val="CodeChangeLine"/>
        <w:tabs>
          <w:tab w:pos="567" w:val="left"/>
          <w:tab w:pos="1134" w:val="left"/>
          <w:tab w:pos="1247" w:val="left"/>
        </w:tabs>
        <w:shd w:val="clear" w:color="auto" w:fill="ecfdf0"/>
      </w:pPr>
      <w:r>
        <w:rPr>
          <w:color w:val="BFBFBF"/>
          <w:shd w:val="clear" w:color="auto" w:fill="#ddfbe6"/>
        </w:rPr>
        <w:tab/>
        <w:t>712</w:t>
        <w:tab/>
        <w:t>+</w:t>
        <w:tab/>
      </w:r>
      <w:r>
        <w:t>3. MEC-hosted MN-CSE that is not yet provisioned and requires onboarding/instantiation via operator workflows (e.g. OSS/CFS).</w:t>
      </w:r>
    </w:p>
    <w:p>
      <w:pPr>
        <w:pStyle w:val="CodeChangeLine"/>
        <w:tabs>
          <w:tab w:pos="567" w:val="left"/>
          <w:tab w:pos="1134" w:val="left"/>
          <w:tab w:pos="1247" w:val="left"/>
        </w:tabs>
        <w:shd w:val="clear" w:color="auto" w:fill="ecfdf0"/>
      </w:pPr>
      <w:r>
        <w:rPr>
          <w:color w:val="BFBFBF"/>
          <w:shd w:val="clear" w:color="auto" w:fill="#ddfbe6"/>
        </w:rPr>
        <w:tab/>
        <w:t>713</w:t>
        <w:tab/>
        <w:t>+</w:t>
        <w:tab/>
      </w:r>
      <w:r>
        <w:t>4. Non-MEC-hosted MN-CSE in the same oneM2M domain (e.g. enterprise, private edge, or regional node).</w:t>
      </w:r>
    </w:p>
    <w:p>
      <w:pPr>
        <w:pStyle w:val="CodeChangeLine"/>
        <w:tabs>
          <w:tab w:pos="567" w:val="left"/>
          <w:tab w:pos="1134" w:val="left"/>
          <w:tab w:pos="1247" w:val="left"/>
        </w:tabs>
        <w:shd w:val="clear" w:color="auto" w:fill="ecfdf0"/>
      </w:pPr>
      <w:r>
        <w:rPr>
          <w:color w:val="BFBFBF"/>
          <w:shd w:val="clear" w:color="auto" w:fill="#ddfbe6"/>
        </w:rPr>
        <w:tab/>
        <w:t>714</w:t>
        <w:tab/>
        <w:t>+</w:t>
        <w:tab/>
      </w:r>
      <w:r>
        <w:t>5. Federated MN-CSE in another administrative domain, subject to inter-domain trust and policy constraints.</w:t>
      </w:r>
    </w:p>
    <w:p>
      <w:pPr>
        <w:pStyle w:val="CodeChangeLine"/>
        <w:tabs>
          <w:tab w:pos="567" w:val="left"/>
          <w:tab w:pos="1134" w:val="left"/>
          <w:tab w:pos="1247" w:val="left"/>
        </w:tabs>
        <w:shd w:val="clear" w:color="auto" w:fill="ecfdf0"/>
      </w:pPr>
      <w:r>
        <w:rPr>
          <w:color w:val="BFBFBF"/>
          <w:shd w:val="clear" w:color="auto" w:fill="#ddfbe6"/>
        </w:rPr>
        <w:tab/>
        <w:t>715</w:t>
        <w:tab/>
        <w:t>+</w:t>
        <w:tab/>
      </w:r>
      <w:r>
        <w:t>6. MN-CSE (host on MEC or not) that is not connected to the IN-CSE.</w:t>
      </w:r>
    </w:p>
    <w:p>
      <w:pPr>
        <w:pStyle w:val="CodeChangeLine"/>
        <w:tabs>
          <w:tab w:pos="567" w:val="left"/>
          <w:tab w:pos="1134" w:val="left"/>
          <w:tab w:pos="1247" w:val="left"/>
        </w:tabs>
        <w:shd w:val="clear" w:color="auto" w:fill="ecfdf0"/>
      </w:pPr>
      <w:r>
        <w:rPr>
          <w:color w:val="BFBFBF"/>
          <w:shd w:val="clear" w:color="auto" w:fill="#ddfbe6"/>
        </w:rPr>
        <w:tab/>
        <w:t>716</w:t>
        <w:tab/>
        <w:t>+</w:t>
        <w:tab/>
      </w:r>
      <w:r/>
    </w:p>
    <w:p>
      <w:pPr>
        <w:pStyle w:val="CodeChangeLine"/>
        <w:tabs>
          <w:tab w:pos="567" w:val="left"/>
          <w:tab w:pos="1134" w:val="left"/>
          <w:tab w:pos="1247" w:val="left"/>
        </w:tabs>
        <w:shd w:val="clear" w:color="auto" w:fill="ecfdf0"/>
      </w:pPr>
      <w:r>
        <w:rPr>
          <w:color w:val="BFBFBF"/>
          <w:shd w:val="clear" w:color="auto" w:fill="#ddfbe6"/>
        </w:rPr>
        <w:tab/>
        <w:t>717</w:t>
        <w:tab/>
        <w:t>+</w:t>
        <w:tab/>
      </w:r>
      <w:r>
        <w:t>The current gap is that MEC-native discovery only provides visibility of MEC-managed targets, while oneM2M service continuity may require selecting a target outside the MEC-managed set. There is no normative method to:</w:t>
      </w:r>
    </w:p>
    <w:p>
      <w:pPr>
        <w:pStyle w:val="CodeChangeLine"/>
        <w:tabs>
          <w:tab w:pos="567" w:val="left"/>
          <w:tab w:pos="1134" w:val="left"/>
          <w:tab w:pos="1247" w:val="left"/>
        </w:tabs>
        <w:shd w:val="clear" w:color="auto" w:fill="ecfdf0"/>
      </w:pPr>
      <w:r>
        <w:rPr>
          <w:color w:val="BFBFBF"/>
          <w:shd w:val="clear" w:color="auto" w:fill="#ddfbe6"/>
        </w:rPr>
        <w:tab/>
        <w:t>718</w:t>
        <w:tab/>
        <w:t>+</w:t>
        <w:tab/>
      </w:r>
      <w:r/>
    </w:p>
    <w:p>
      <w:pPr>
        <w:pStyle w:val="CodeChangeLine"/>
        <w:tabs>
          <w:tab w:pos="567" w:val="left"/>
          <w:tab w:pos="1134" w:val="left"/>
          <w:tab w:pos="1247" w:val="left"/>
        </w:tabs>
        <w:shd w:val="clear" w:color="auto" w:fill="ecfdf0"/>
      </w:pPr>
      <w:r>
        <w:rPr>
          <w:color w:val="BFBFBF"/>
          <w:shd w:val="clear" w:color="auto" w:fill="#ddfbe6"/>
        </w:rPr>
        <w:tab/>
        <w:t>719</w:t>
        <w:tab/>
        <w:t>+</w:t>
        <w:tab/>
      </w:r>
      <w:r>
        <w:t>- build one consistent candidate list across MEC and non-MEC domains,</w:t>
      </w:r>
    </w:p>
    <w:p>
      <w:pPr>
        <w:pStyle w:val="CodeChangeLine"/>
        <w:tabs>
          <w:tab w:pos="567" w:val="left"/>
          <w:tab w:pos="1134" w:val="left"/>
          <w:tab w:pos="1247" w:val="left"/>
        </w:tabs>
        <w:shd w:val="clear" w:color="auto" w:fill="ecfdf0"/>
      </w:pPr>
      <w:r>
        <w:rPr>
          <w:color w:val="BFBFBF"/>
          <w:shd w:val="clear" w:color="auto" w:fill="#ddfbe6"/>
        </w:rPr>
        <w:tab/>
        <w:t>720</w:t>
        <w:tab/>
        <w:t>+</w:t>
        <w:tab/>
      </w:r>
      <w:r>
        <w:t>- expose comparable target metadata (location, reachability, load, policy, trust, and capabilities),</w:t>
      </w:r>
    </w:p>
    <w:p>
      <w:pPr>
        <w:pStyle w:val="CodeChangeLine"/>
        <w:tabs>
          <w:tab w:pos="567" w:val="left"/>
          <w:tab w:pos="1134" w:val="left"/>
          <w:tab w:pos="1247" w:val="left"/>
        </w:tabs>
        <w:shd w:val="clear" w:color="auto" w:fill="ecfdf0"/>
      </w:pPr>
      <w:r>
        <w:rPr>
          <w:color w:val="BFBFBF"/>
          <w:shd w:val="clear" w:color="auto" w:fill="#ddfbe6"/>
        </w:rPr>
        <w:tab/>
        <w:t>721</w:t>
        <w:tab/>
        <w:t>+</w:t>
        <w:tab/>
      </w:r>
      <w:r>
        <w:t>- rank and select the best target using common criteria, and</w:t>
      </w:r>
    </w:p>
    <w:p>
      <w:pPr>
        <w:pStyle w:val="CodeChangeLine"/>
        <w:tabs>
          <w:tab w:pos="567" w:val="left"/>
          <w:tab w:pos="1134" w:val="left"/>
          <w:tab w:pos="1247" w:val="left"/>
        </w:tabs>
        <w:shd w:val="clear" w:color="auto" w:fill="ecfdf0"/>
      </w:pPr>
      <w:r>
        <w:rPr>
          <w:color w:val="BFBFBF"/>
          <w:shd w:val="clear" w:color="auto" w:fill="#ddfbe6"/>
        </w:rPr>
        <w:tab/>
        <w:t>722</w:t>
        <w:tab/>
        <w:t>+</w:t>
        <w:tab/>
      </w:r>
      <w:r>
        <w:t>- trigger instantiation/onboarding when a preferred target is not yet active.</w:t>
      </w:r>
    </w:p>
    <w:p>
      <w:pPr>
        <w:pStyle w:val="CodeChangeLine"/>
        <w:tabs>
          <w:tab w:pos="567" w:val="left"/>
          <w:tab w:pos="1134" w:val="left"/>
          <w:tab w:pos="1247" w:val="left"/>
        </w:tabs>
        <w:shd w:val="clear" w:color="auto" w:fill="ecfdf0"/>
      </w:pPr>
      <w:r>
        <w:rPr>
          <w:color w:val="BFBFBF"/>
          <w:shd w:val="clear" w:color="auto" w:fill="#ddfbe6"/>
        </w:rPr>
        <w:tab/>
        <w:t>723</w:t>
        <w:tab/>
        <w:t>+</w:t>
        <w:tab/>
      </w:r>
      <w:r/>
    </w:p>
    <w:p>
      <w:pPr>
        <w:pStyle w:val="CodeChangeLine"/>
        <w:tabs>
          <w:tab w:pos="567" w:val="left"/>
          <w:tab w:pos="1134" w:val="left"/>
          <w:tab w:pos="1247" w:val="left"/>
        </w:tabs>
        <w:shd w:val="clear" w:color="auto" w:fill="ecfdf0"/>
      </w:pPr>
      <w:r>
        <w:rPr>
          <w:color w:val="BFBFBF"/>
          <w:shd w:val="clear" w:color="auto" w:fill="#ddfbe6"/>
        </w:rPr>
        <w:tab/>
        <w:t>724</w:t>
        <w:tab/>
        <w:t>+</w:t>
        <w:tab/>
      </w:r>
      <w:r>
        <w:t>As a result, target selection logic is implementation-specific and may produce inconsistent handover behavior across deployments.</w:t>
      </w:r>
    </w:p>
    <w:p>
      <w:pPr>
        <w:pStyle w:val="CodeChangeLine"/>
        <w:tabs>
          <w:tab w:pos="567" w:val="left"/>
          <w:tab w:pos="1134" w:val="left"/>
          <w:tab w:pos="1247" w:val="left"/>
        </w:tabs>
        <w:shd w:val="clear" w:color="auto" w:fill="ecfdf0"/>
      </w:pPr>
      <w:r>
        <w:rPr>
          <w:color w:val="BFBFBF"/>
          <w:shd w:val="clear" w:color="auto" w:fill="#ddfbe6"/>
        </w:rPr>
        <w:tab/>
        <w:t>725</w:t>
        <w:tab/>
        <w:t>+</w:t>
        <w:tab/>
      </w:r>
      <w:r/>
    </w:p>
    <w:p>
      <w:pPr>
        <w:pStyle w:val="CodeChangeLine"/>
        <w:tabs>
          <w:tab w:pos="567" w:val="left"/>
          <w:tab w:pos="1134" w:val="left"/>
          <w:tab w:pos="1247" w:val="left"/>
        </w:tabs>
        <w:shd w:val="clear" w:color="auto" w:fill="ecfdf0"/>
      </w:pPr>
      <w:r>
        <w:rPr>
          <w:color w:val="BFBFBF"/>
          <w:shd w:val="clear" w:color="auto" w:fill="#ddfbe6"/>
        </w:rPr>
        <w:tab/>
        <w:t>726</w:t>
        <w:tab/>
        <w:t>+</w:t>
        <w:tab/>
      </w:r>
      <w:r>
        <w:t>**Possible Extensions to Related oneM2M/MEC Elements**</w:t>
      </w:r>
    </w:p>
    <w:p>
      <w:pPr>
        <w:pStyle w:val="CodeChangeLine"/>
        <w:tabs>
          <w:tab w:pos="567" w:val="left"/>
          <w:tab w:pos="1134" w:val="left"/>
          <w:tab w:pos="1247" w:val="left"/>
        </w:tabs>
        <w:shd w:val="clear" w:color="auto" w:fill="ecfdf0"/>
      </w:pPr>
      <w:r>
        <w:rPr>
          <w:color w:val="BFBFBF"/>
          <w:shd w:val="clear" w:color="auto" w:fill="#ddfbe6"/>
        </w:rPr>
        <w:tab/>
        <w:t>727</w:t>
        <w:tab/>
        <w:t>+</w:t>
        <w:tab/>
      </w:r>
      <w:r/>
    </w:p>
    <w:p>
      <w:pPr>
        <w:pStyle w:val="CodeChangeLine"/>
        <w:tabs>
          <w:tab w:pos="567" w:val="left"/>
          <w:tab w:pos="1134" w:val="left"/>
          <w:tab w:pos="1247" w:val="left"/>
        </w:tabs>
        <w:shd w:val="clear" w:color="auto" w:fill="ecfdf0"/>
      </w:pPr>
      <w:r>
        <w:rPr>
          <w:color w:val="BFBFBF"/>
          <w:shd w:val="clear" w:color="auto" w:fill="#ddfbe6"/>
        </w:rPr>
        <w:tab/>
        <w:t>728</w:t>
        <w:tab/>
        <w:t>+</w:t>
        <w:tab/>
      </w:r>
      <w:r>
        <w:t>- oneM2M `remoteCSE`/`CSEBase` extensions to expose handover-target metadata (e.g. location/coverage, reachability, capacity/load, policy tags, trust domain, and administrative scope).</w:t>
      </w:r>
    </w:p>
    <w:p>
      <w:pPr>
        <w:pStyle w:val="CodeChangeLine"/>
        <w:tabs>
          <w:tab w:pos="567" w:val="left"/>
          <w:tab w:pos="1134" w:val="left"/>
          <w:tab w:pos="1247" w:val="left"/>
        </w:tabs>
        <w:shd w:val="clear" w:color="auto" w:fill="ecfdf0"/>
      </w:pPr>
      <w:r>
        <w:rPr>
          <w:color w:val="BFBFBF"/>
          <w:shd w:val="clear" w:color="auto" w:fill="#ddfbe6"/>
        </w:rPr>
        <w:tab/>
        <w:t>729</w:t>
        <w:tab/>
        <w:t>+</w:t>
        <w:tab/>
      </w:r>
      <w:r>
        <w:t>- oneM2M discovery extensions to support unified candidate-list retrieval across MEC-hosted and non-MEC-hosted MN-CSEs, including federated domains.</w:t>
      </w:r>
    </w:p>
    <w:p>
      <w:pPr>
        <w:pStyle w:val="CodeChangeLine"/>
        <w:tabs>
          <w:tab w:pos="567" w:val="left"/>
          <w:tab w:pos="1134" w:val="left"/>
          <w:tab w:pos="1247" w:val="left"/>
        </w:tabs>
        <w:shd w:val="clear" w:color="auto" w:fill="ecfdf0"/>
      </w:pPr>
      <w:r>
        <w:rPr>
          <w:color w:val="BFBFBF"/>
          <w:shd w:val="clear" w:color="auto" w:fill="#ddfbe6"/>
        </w:rPr>
        <w:tab/>
        <w:t>730</w:t>
        <w:tab/>
        <w:t>+</w:t>
        <w:tab/>
      </w:r>
      <w:r>
        <w:t>- oneM2M policy model extension to define common ranking criteria and target-selection constraints for handover (latency, cost, trust, sovereignty, and service capability).</w:t>
      </w:r>
    </w:p>
    <w:p>
      <w:pPr>
        <w:pStyle w:val="CodeChangeLine"/>
        <w:tabs>
          <w:tab w:pos="567" w:val="left"/>
          <w:tab w:pos="1134" w:val="left"/>
          <w:tab w:pos="1247" w:val="left"/>
        </w:tabs>
        <w:shd w:val="clear" w:color="auto" w:fill="ecfdf0"/>
      </w:pPr>
      <w:r>
        <w:rPr>
          <w:color w:val="BFBFBF"/>
          <w:shd w:val="clear" w:color="auto" w:fill="#ddfbe6"/>
        </w:rPr>
        <w:tab/>
        <w:t>731</w:t>
        <w:tab/>
        <w:t>+</w:t>
        <w:tab/>
      </w:r>
      <w:r>
        <w:t>- oneM2M orchestration extensions to trigger target activation workflows (instantiate, onboard, or pre-warm) when the preferred MN-CSE is provisioned but not active.</w:t>
      </w:r>
    </w:p>
    <w:p>
      <w:pPr>
        <w:pStyle w:val="CodeChangeLine"/>
        <w:tabs>
          <w:tab w:pos="567" w:val="left"/>
          <w:tab w:pos="1134" w:val="left"/>
          <w:tab w:pos="1247" w:val="left"/>
        </w:tabs>
        <w:shd w:val="clear" w:color="auto" w:fill="ecfdf0"/>
      </w:pPr>
      <w:r>
        <w:rPr>
          <w:color w:val="BFBFBF"/>
          <w:shd w:val="clear" w:color="auto" w:fill="#ddfbe6"/>
        </w:rPr>
        <w:tab/>
        <w:t>732</w:t>
        <w:tab/>
        <w:t>+</w:t>
        <w:tab/>
      </w:r>
      <w:r>
        <w:t>- MEC inventory/discovery extensions to expose MN-CSE hosting state (instantiated, provisioned-not-instantiated, not-provisioned) in a form consumable by oneM2M selection logic.</w:t>
      </w:r>
    </w:p>
    <w:p>
      <w:pPr>
        <w:pStyle w:val="CodeChangeLine"/>
        <w:tabs>
          <w:tab w:pos="567" w:val="left"/>
          <w:tab w:pos="1134" w:val="left"/>
          <w:tab w:pos="1247" w:val="left"/>
        </w:tabs>
        <w:shd w:val="clear" w:color="auto" w:fill="ecfdf0"/>
      </w:pPr>
      <w:r>
        <w:rPr>
          <w:color w:val="BFBFBF"/>
          <w:shd w:val="clear" w:color="auto" w:fill="#ddfbe6"/>
        </w:rPr>
        <w:tab/>
        <w:t>733</w:t>
        <w:tab/>
        <w:t>+</w:t>
        <w:tab/>
      </w:r>
      <w:r>
        <w:t>- MEC-to-oneM2M interworking for on-demand activation, including alignment between MEO lifecycle operations and oneM2M handover intent.</w:t>
      </w:r>
    </w:p>
    <w:p>
      <w:pPr>
        <w:pStyle w:val="CodeChangeLine"/>
        <w:tabs>
          <w:tab w:pos="567" w:val="left"/>
          <w:tab w:pos="1134" w:val="left"/>
          <w:tab w:pos="1247" w:val="left"/>
        </w:tabs>
        <w:shd w:val="clear" w:color="auto" w:fill="ecfdf0"/>
      </w:pPr>
      <w:r>
        <w:rPr>
          <w:color w:val="BFBFBF"/>
          <w:shd w:val="clear" w:color="auto" w:fill="#ddfbe6"/>
        </w:rPr>
        <w:tab/>
        <w:t>734</w:t>
        <w:tab/>
        <w:t>+</w:t>
        <w:tab/>
      </w:r>
      <w:r>
        <w:t>- Cross-domain federation extensions (oneM2M and/or MEC) to advertise and validate inter-domain trust, policy compatibility, and roaming constraints for candidate MN-CSE targets.</w:t>
      </w:r>
    </w:p>
    <w:p>
      <w:pPr>
        <w:pStyle w:val="CodeChangeLine"/>
        <w:tabs>
          <w:tab w:pos="567" w:val="left"/>
          <w:tab w:pos="1134" w:val="left"/>
          <w:tab w:pos="1247" w:val="left"/>
        </w:tabs>
        <w:shd w:val="clear" w:color="auto" w:fill="ecfdf0"/>
      </w:pPr>
      <w:r>
        <w:rPr>
          <w:color w:val="BFBFBF"/>
          <w:shd w:val="clear" w:color="auto" w:fill="#ddfbe6"/>
        </w:rPr>
        <w:tab/>
        <w:t>735</w:t>
        <w:tab/>
        <w:t>+</w:t>
        <w:tab/>
      </w:r>
      <w:r/>
    </w:p>
    <w:p>
      <w:pPr>
        <w:pStyle w:val="CodeChangeLine"/>
        <w:tabs>
          <w:tab w:pos="567" w:val="left"/>
          <w:tab w:pos="1134" w:val="left"/>
          <w:tab w:pos="1247" w:val="left"/>
        </w:tabs>
        <w:shd w:val="clear" w:color="auto" w:fill="ecfdf0"/>
      </w:pPr>
      <w:r>
        <w:rPr>
          <w:color w:val="BFBFBF"/>
          <w:shd w:val="clear" w:color="auto" w:fill="#ddfbe6"/>
        </w:rPr>
        <w:tab/>
        <w:t>736</w:t>
        <w:tab/>
        <w:t>+</w:t>
        <w:tab/>
      </w:r>
      <w:r/>
    </w:p>
    <w:p>
      <w:pPr>
        <w:pStyle w:val="CodeChangeLine"/>
        <w:tabs>
          <w:tab w:pos="567" w:val="left"/>
          <w:tab w:pos="1134" w:val="left"/>
          <w:tab w:pos="1247" w:val="left"/>
        </w:tabs>
        <w:shd w:val="clear" w:color="auto" w:fill="ecfdf0"/>
      </w:pPr>
      <w:r>
        <w:rPr>
          <w:color w:val="BFBFBF"/>
          <w:shd w:val="clear" w:color="auto" w:fill="#ddfbe6"/>
        </w:rPr>
        <w:tab/>
        <w:t>737</w:t>
        <w:tab/>
        <w:t>+</w:t>
        <w:tab/>
      </w:r>
      <w:r>
        <w:t>#### 7.2.2.7 Lack of Multiple Results for Discovery Mechanism for Mobility-Aware Handover</w:t>
      </w:r>
    </w:p>
    <w:p>
      <w:pPr>
        <w:pStyle w:val="CodeChangeLine"/>
        <w:tabs>
          <w:tab w:pos="567" w:val="left"/>
          <w:tab w:pos="1134" w:val="left"/>
          <w:tab w:pos="1247" w:val="left"/>
        </w:tabs>
        <w:shd w:val="clear" w:color="auto" w:fill="ecfdf0"/>
      </w:pPr>
      <w:r>
        <w:rPr>
          <w:color w:val="BFBFBF"/>
          <w:shd w:val="clear" w:color="auto" w:fill="#ddfbe6"/>
        </w:rPr>
        <w:tab/>
        <w:t>738</w:t>
        <w:tab/>
        <w:t>+</w:t>
        <w:tab/>
      </w:r>
      <w:r/>
    </w:p>
    <w:p>
      <w:pPr>
        <w:pStyle w:val="CodeChangeLine"/>
        <w:tabs>
          <w:tab w:pos="567" w:val="left"/>
          <w:tab w:pos="1134" w:val="left"/>
          <w:tab w:pos="1247" w:val="left"/>
        </w:tabs>
        <w:shd w:val="clear" w:color="auto" w:fill="ecfdf0"/>
      </w:pPr>
      <w:r>
        <w:rPr>
          <w:color w:val="BFBFBF"/>
          <w:shd w:val="clear" w:color="auto" w:fill="#ddfbe6"/>
        </w:rPr>
        <w:tab/>
        <w:t>739</w:t>
        <w:tab/>
        <w:t>+</w:t>
        <w:tab/>
      </w:r>
      <w:r>
        <w:t>Gap boundary: This subclause focuses on multi-candidate response behavior, ranking repeatability, and fallback determinism after discovery.</w:t>
      </w:r>
    </w:p>
    <w:p>
      <w:pPr>
        <w:pStyle w:val="CodeChangeLine"/>
        <w:tabs>
          <w:tab w:pos="567" w:val="left"/>
          <w:tab w:pos="1134" w:val="left"/>
          <w:tab w:pos="1247" w:val="left"/>
        </w:tabs>
        <w:shd w:val="clear" w:color="auto" w:fill="ecfdf0"/>
      </w:pPr>
      <w:r>
        <w:rPr>
          <w:color w:val="BFBFBF"/>
          <w:shd w:val="clear" w:color="auto" w:fill="#ddfbe6"/>
        </w:rPr>
        <w:tab/>
        <w:t>740</w:t>
        <w:tab/>
        <w:t>+</w:t>
        <w:tab/>
      </w:r>
      <w:r/>
    </w:p>
    <w:p>
      <w:pPr>
        <w:pStyle w:val="CodeChangeLine"/>
        <w:tabs>
          <w:tab w:pos="567" w:val="left"/>
          <w:tab w:pos="1134" w:val="left"/>
          <w:tab w:pos="1247" w:val="left"/>
        </w:tabs>
        <w:shd w:val="clear" w:color="auto" w:fill="ecfdf0"/>
      </w:pPr>
      <w:r>
        <w:rPr>
          <w:color w:val="BFBFBF"/>
          <w:shd w:val="clear" w:color="auto" w:fill="#ddfbe6"/>
        </w:rPr>
        <w:tab/>
        <w:t>741</w:t>
        <w:tab/>
        <w:t>+</w:t>
        <w:tab/>
      </w:r>
      <w:r>
        <w:t>In mobility-aware handover, target selection should be performed from a ranked set of candidate MEC platforms/MN-CSEs rather than from a single discovered endpoint. If discovery returns only one candidate, the handover decision becomes single-path and cannot optimize across latency, radio conditions, load, policy, and resilience constraints.</w:t>
      </w:r>
    </w:p>
    <w:p>
      <w:pPr>
        <w:pStyle w:val="CodeChangeLine"/>
        <w:tabs>
          <w:tab w:pos="567" w:val="left"/>
          <w:tab w:pos="1134" w:val="left"/>
          <w:tab w:pos="1247" w:val="left"/>
        </w:tabs>
        <w:shd w:val="clear" w:color="auto" w:fill="ecfdf0"/>
      </w:pPr>
      <w:r>
        <w:rPr>
          <w:color w:val="BFBFBF"/>
          <w:shd w:val="clear" w:color="auto" w:fill="#ddfbe6"/>
        </w:rPr>
        <w:tab/>
        <w:t>742</w:t>
        <w:tab/>
        <w:t>+</w:t>
        <w:tab/>
      </w:r>
      <w:r/>
    </w:p>
    <w:p>
      <w:pPr>
        <w:pStyle w:val="CodeChangeLine"/>
        <w:tabs>
          <w:tab w:pos="567" w:val="left"/>
          <w:tab w:pos="1134" w:val="left"/>
          <w:tab w:pos="1247" w:val="left"/>
        </w:tabs>
        <w:shd w:val="clear" w:color="auto" w:fill="ecfdf0"/>
      </w:pPr>
      <w:r>
        <w:rPr>
          <w:color w:val="BFBFBF"/>
          <w:shd w:val="clear" w:color="auto" w:fill="#ddfbe6"/>
        </w:rPr>
        <w:tab/>
        <w:t>743</w:t>
        <w:tab/>
        <w:t>+</w:t>
        <w:tab/>
      </w:r>
      <w:r>
        <w:t>Current specifications do not normatively define minimum multi-candidate discovery behavior (e.g. required number of candidates when available), candidate comparability rules, or deterministic ranking and fallback behavior when the preferred target fails admission/activation.</w:t>
      </w:r>
    </w:p>
    <w:p>
      <w:pPr>
        <w:pStyle w:val="CodeChangeLine"/>
        <w:tabs>
          <w:tab w:pos="567" w:val="left"/>
          <w:tab w:pos="1134" w:val="left"/>
          <w:tab w:pos="1247" w:val="left"/>
        </w:tabs>
        <w:shd w:val="clear" w:color="auto" w:fill="ecfdf0"/>
      </w:pPr>
      <w:r>
        <w:rPr>
          <w:color w:val="BFBFBF"/>
          <w:shd w:val="clear" w:color="auto" w:fill="#ddfbe6"/>
        </w:rPr>
        <w:tab/>
        <w:t>744</w:t>
        <w:tab/>
        <w:t>+</w:t>
        <w:tab/>
      </w:r>
      <w:r/>
    </w:p>
    <w:p>
      <w:pPr>
        <w:pStyle w:val="CodeChangeLine"/>
        <w:tabs>
          <w:tab w:pos="567" w:val="left"/>
          <w:tab w:pos="1134" w:val="left"/>
          <w:tab w:pos="1247" w:val="left"/>
        </w:tabs>
        <w:shd w:val="clear" w:color="auto" w:fill="ecfdf0"/>
      </w:pPr>
      <w:r>
        <w:rPr>
          <w:color w:val="BFBFBF"/>
          <w:shd w:val="clear" w:color="auto" w:fill="#ddfbe6"/>
        </w:rPr>
        <w:tab/>
        <w:t>745</w:t>
        <w:tab/>
        <w:t>+</w:t>
        <w:tab/>
      </w:r>
      <w:r>
        <w:t>Therefore, the MEO/oneM2M decision function should be able to discover multiple candidates and select the best target using explicit, comparable, and repeatable criteria.</w:t>
      </w:r>
    </w:p>
    <w:p>
      <w:pPr>
        <w:pStyle w:val="CodeChangeLine"/>
        <w:tabs>
          <w:tab w:pos="567" w:val="left"/>
          <w:tab w:pos="1134" w:val="left"/>
          <w:tab w:pos="1247" w:val="left"/>
        </w:tabs>
        <w:shd w:val="clear" w:color="auto" w:fill="ecfdf0"/>
      </w:pPr>
      <w:r>
        <w:rPr>
          <w:color w:val="BFBFBF"/>
          <w:shd w:val="clear" w:color="auto" w:fill="#ddfbe6"/>
        </w:rPr>
        <w:tab/>
        <w:t>746</w:t>
        <w:tab/>
        <w:t>+</w:t>
        <w:tab/>
      </w:r>
      <w:r/>
    </w:p>
    <w:p>
      <w:pPr>
        <w:pStyle w:val="CodeChangeLine"/>
        <w:tabs>
          <w:tab w:pos="567" w:val="left"/>
          <w:tab w:pos="1134" w:val="left"/>
          <w:tab w:pos="1247" w:val="left"/>
        </w:tabs>
        <w:shd w:val="clear" w:color="auto" w:fill="ecfdf0"/>
      </w:pPr>
      <w:r>
        <w:rPr>
          <w:color w:val="BFBFBF"/>
          <w:shd w:val="clear" w:color="auto" w:fill="#ddfbe6"/>
        </w:rPr>
        <w:tab/>
        <w:t>747</w:t>
        <w:tab/>
        <w:t>+</w:t>
        <w:tab/>
      </w:r>
      <w:r>
        <w:t xml:space="preserve"> &lt;mark&gt;[ISG MEC]: This topics raised a lot of discussion during the ISG MEC meetings. The following is point were highlighted:</w:t>
      </w:r>
    </w:p>
    <w:p>
      <w:pPr>
        <w:pStyle w:val="CodeChangeLine"/>
        <w:tabs>
          <w:tab w:pos="567" w:val="left"/>
          <w:tab w:pos="1134" w:val="left"/>
          <w:tab w:pos="1247" w:val="left"/>
        </w:tabs>
        <w:shd w:val="clear" w:color="auto" w:fill="ecfdf0"/>
      </w:pPr>
      <w:r>
        <w:rPr>
          <w:color w:val="BFBFBF"/>
          <w:shd w:val="clear" w:color="auto" w:fill="#ddfbe6"/>
        </w:rPr>
        <w:tab/>
        <w:t>748</w:t>
        <w:tab/>
        <w:t>+</w:t>
        <w:tab/>
      </w:r>
      <w:r/>
    </w:p>
    <w:p>
      <w:pPr>
        <w:pStyle w:val="CodeChangeLine"/>
        <w:tabs>
          <w:tab w:pos="567" w:val="left"/>
          <w:tab w:pos="1134" w:val="left"/>
          <w:tab w:pos="1247" w:val="left"/>
        </w:tabs>
        <w:shd w:val="clear" w:color="auto" w:fill="ecfdf0"/>
      </w:pPr>
      <w:r>
        <w:rPr>
          <w:color w:val="BFBFBF"/>
          <w:shd w:val="clear" w:color="auto" w:fill="#ddfbe6"/>
        </w:rPr>
        <w:tab/>
        <w:t>749</w:t>
        <w:tab/>
        <w:t>+</w:t>
        <w:tab/>
      </w:r>
      <w:r>
        <w:t xml:space="preserve"> 1. The MEO determine the best candidate, not the closest one.</w:t>
      </w:r>
    </w:p>
    <w:p>
      <w:pPr>
        <w:pStyle w:val="CodeChangeLine"/>
        <w:tabs>
          <w:tab w:pos="567" w:val="left"/>
          <w:tab w:pos="1134" w:val="left"/>
          <w:tab w:pos="1247" w:val="left"/>
        </w:tabs>
        <w:shd w:val="clear" w:color="auto" w:fill="ecfdf0"/>
      </w:pPr>
      <w:r>
        <w:rPr>
          <w:color w:val="BFBFBF"/>
          <w:shd w:val="clear" w:color="auto" w:fill="#ddfbe6"/>
        </w:rPr>
        <w:tab/>
        <w:t>750</w:t>
        <w:tab/>
        <w:t>+</w:t>
        <w:tab/>
      </w:r>
      <w:r>
        <w:t xml:space="preserve"> 2. ETSI MEC is mainly an edge at network. Even if the criteria to select the best candidate are not clearly specified, these criteria are focused on radio based metrics.</w:t>
      </w:r>
    </w:p>
    <w:p>
      <w:pPr>
        <w:pStyle w:val="CodeChangeLine"/>
        <w:tabs>
          <w:tab w:pos="567" w:val="left"/>
          <w:tab w:pos="1134" w:val="left"/>
          <w:tab w:pos="1247" w:val="left"/>
        </w:tabs>
        <w:shd w:val="clear" w:color="auto" w:fill="ecfdf0"/>
      </w:pPr>
      <w:r>
        <w:rPr>
          <w:color w:val="BFBFBF"/>
          <w:shd w:val="clear" w:color="auto" w:fill="#ddfbe6"/>
        </w:rPr>
        <w:tab/>
        <w:t>751</w:t>
        <w:tab/>
        <w:t>+</w:t>
        <w:tab/>
      </w:r>
      <w:r>
        <w:t xml:space="preserve"> BTW, the **MEC relocation is agnostic these criteria are more implementation dependent.** Further discussion is needed to clarify the requirements and the possible solution for this topic.</w:t>
      </w:r>
    </w:p>
    <w:p>
      <w:pPr>
        <w:pStyle w:val="CodeChangeLine"/>
        <w:tabs>
          <w:tab w:pos="567" w:val="left"/>
          <w:tab w:pos="1134" w:val="left"/>
          <w:tab w:pos="1247" w:val="left"/>
        </w:tabs>
        <w:shd w:val="clear" w:color="auto" w:fill="ecfdf0"/>
      </w:pPr>
      <w:r>
        <w:rPr>
          <w:color w:val="BFBFBF"/>
          <w:shd w:val="clear" w:color="auto" w:fill="#ddfbe6"/>
        </w:rPr>
        <w:tab/>
        <w:t>752</w:t>
        <w:tab/>
        <w:t>+</w:t>
        <w:tab/>
      </w:r>
      <w:r/>
    </w:p>
    <w:p>
      <w:pPr>
        <w:pStyle w:val="CodeChangeLine"/>
        <w:tabs>
          <w:tab w:pos="567" w:val="left"/>
          <w:tab w:pos="1134" w:val="left"/>
          <w:tab w:pos="1247" w:val="left"/>
        </w:tabs>
        <w:shd w:val="clear" w:color="auto" w:fill="ecfdf0"/>
      </w:pPr>
      <w:r>
        <w:rPr>
          <w:color w:val="BFBFBF"/>
          <w:shd w:val="clear" w:color="auto" w:fill="#ddfbe6"/>
        </w:rPr>
        <w:tab/>
        <w:t>753</w:t>
        <w:tab/>
        <w:t>+</w:t>
        <w:tab/>
      </w:r>
      <w:r>
        <w:t xml:space="preserve"> &lt;/mark&gt;</w:t>
      </w:r>
    </w:p>
    <w:p>
      <w:pPr>
        <w:pStyle w:val="CodeChangeLine"/>
        <w:tabs>
          <w:tab w:pos="567" w:val="left"/>
          <w:tab w:pos="1134" w:val="left"/>
          <w:tab w:pos="1247" w:val="left"/>
        </w:tabs>
        <w:shd w:val="clear" w:color="auto" w:fill="ecfdf0"/>
      </w:pPr>
      <w:r>
        <w:rPr>
          <w:color w:val="BFBFBF"/>
          <w:shd w:val="clear" w:color="auto" w:fill="#ddfbe6"/>
        </w:rPr>
        <w:tab/>
        <w:t>754</w:t>
        <w:tab/>
        <w:t>+</w:t>
        <w:tab/>
      </w:r>
      <w:r/>
    </w:p>
    <w:p>
      <w:pPr>
        <w:pStyle w:val="CodeChangeLine"/>
        <w:tabs>
          <w:tab w:pos="567" w:val="left"/>
          <w:tab w:pos="1134" w:val="left"/>
          <w:tab w:pos="1247" w:val="left"/>
        </w:tabs>
        <w:shd w:val="clear" w:color="auto" w:fill="ecfdf0"/>
      </w:pPr>
      <w:r>
        <w:rPr>
          <w:color w:val="BFBFBF"/>
          <w:shd w:val="clear" w:color="auto" w:fill="#ddfbe6"/>
        </w:rPr>
        <w:tab/>
        <w:t>755</w:t>
        <w:tab/>
        <w:t>+</w:t>
        <w:tab/>
      </w:r>
      <w:r>
        <w:t>Open issue OI-7.2-01 (from ISG MEC discussions):</w:t>
      </w:r>
    </w:p>
    <w:p>
      <w:pPr>
        <w:pStyle w:val="CodeChangeLine"/>
        <w:tabs>
          <w:tab w:pos="567" w:val="left"/>
          <w:tab w:pos="1134" w:val="left"/>
          <w:tab w:pos="1247" w:val="left"/>
        </w:tabs>
        <w:shd w:val="clear" w:color="auto" w:fill="ecfdf0"/>
      </w:pPr>
      <w:r>
        <w:rPr>
          <w:color w:val="BFBFBF"/>
          <w:shd w:val="clear" w:color="auto" w:fill="#ddfbe6"/>
        </w:rPr>
        <w:tab/>
        <w:t>756</w:t>
        <w:tab/>
        <w:t>+</w:t>
        <w:tab/>
      </w:r>
      <w:r/>
    </w:p>
    <w:p>
      <w:pPr>
        <w:pStyle w:val="CodeChangeLine"/>
        <w:tabs>
          <w:tab w:pos="567" w:val="left"/>
          <w:tab w:pos="1134" w:val="left"/>
          <w:tab w:pos="1247" w:val="left"/>
        </w:tabs>
        <w:shd w:val="clear" w:color="auto" w:fill="ecfdf0"/>
      </w:pPr>
      <w:r>
        <w:rPr>
          <w:color w:val="BFBFBF"/>
          <w:shd w:val="clear" w:color="auto" w:fill="#ddfbe6"/>
        </w:rPr>
        <w:tab/>
        <w:t>757</w:t>
        <w:tab/>
        <w:t>+</w:t>
        <w:tab/>
      </w:r>
      <w:r>
        <w:t>- Decision needed: whether specifications should require single-best output, N-best output, or policy-defined candidate set size.</w:t>
      </w:r>
    </w:p>
    <w:p>
      <w:pPr>
        <w:pStyle w:val="CodeChangeLine"/>
        <w:tabs>
          <w:tab w:pos="567" w:val="left"/>
          <w:tab w:pos="1134" w:val="left"/>
          <w:tab w:pos="1247" w:val="left"/>
        </w:tabs>
        <w:shd w:val="clear" w:color="auto" w:fill="ecfdf0"/>
      </w:pPr>
      <w:r>
        <w:rPr>
          <w:color w:val="BFBFBF"/>
          <w:shd w:val="clear" w:color="auto" w:fill="#ddfbe6"/>
        </w:rPr>
        <w:tab/>
        <w:t>758</w:t>
        <w:tab/>
        <w:t>+</w:t>
        <w:tab/>
      </w:r>
      <w:r>
        <w:t>- Observed concern: candidate ranking is often implementation-specific and may be strongly radio-metric-driven in MEC environments.</w:t>
      </w:r>
    </w:p>
    <w:p>
      <w:pPr>
        <w:pStyle w:val="CodeChangeLine"/>
        <w:tabs>
          <w:tab w:pos="567" w:val="left"/>
          <w:tab w:pos="1134" w:val="left"/>
          <w:tab w:pos="1247" w:val="left"/>
        </w:tabs>
        <w:shd w:val="clear" w:color="auto" w:fill="ecfdf0"/>
      </w:pPr>
      <w:r>
        <w:rPr>
          <w:color w:val="BFBFBF"/>
          <w:shd w:val="clear" w:color="auto" w:fill="#ddfbe6"/>
        </w:rPr>
        <w:tab/>
        <w:t>759</w:t>
        <w:tab/>
        <w:t>+</w:t>
        <w:tab/>
      </w:r>
      <w:r>
        <w:t>- Unresolved point: minimum standardized ranking/fallback behavior needed for repeatable inter-implementation outcomes.</w:t>
      </w:r>
    </w:p>
    <w:p>
      <w:pPr>
        <w:pStyle w:val="CodeChangeLine"/>
        <w:tabs>
          <w:tab w:pos="567" w:val="left"/>
          <w:tab w:pos="1134" w:val="left"/>
          <w:tab w:pos="1247" w:val="left"/>
        </w:tabs>
        <w:shd w:val="clear" w:color="auto" w:fill="ecfdf0"/>
      </w:pPr>
      <w:r>
        <w:rPr>
          <w:color w:val="BFBFBF"/>
          <w:shd w:val="clear" w:color="auto" w:fill="#ddfbe6"/>
        </w:rPr>
        <w:tab/>
        <w:t>760</w:t>
        <w:tab/>
        <w:t>+</w:t>
        <w:tab/>
      </w:r>
      <w:r/>
    </w:p>
    <w:p>
      <w:pPr>
        <w:pStyle w:val="CodeChangeLine"/>
        <w:tabs>
          <w:tab w:pos="567" w:val="left"/>
          <w:tab w:pos="1134" w:val="left"/>
          <w:tab w:pos="1247" w:val="left"/>
        </w:tabs>
        <w:shd w:val="clear" w:color="auto" w:fill="ecfdf0"/>
      </w:pPr>
      <w:r>
        <w:rPr>
          <w:color w:val="BFBFBF"/>
          <w:shd w:val="clear" w:color="auto" w:fill="#ddfbe6"/>
        </w:rPr>
        <w:tab/>
        <w:t>761</w:t>
        <w:tab/>
        <w:t>+</w:t>
        <w:tab/>
      </w:r>
      <w:r>
        <w:t>**Possible Extensions to Related oneM2M/MEC Elements**</w:t>
      </w:r>
    </w:p>
    <w:p>
      <w:pPr>
        <w:pStyle w:val="CodeChangeLine"/>
        <w:tabs>
          <w:tab w:pos="567" w:val="left"/>
          <w:tab w:pos="1134" w:val="left"/>
          <w:tab w:pos="1247" w:val="left"/>
        </w:tabs>
        <w:shd w:val="clear" w:color="auto" w:fill="ecfdf0"/>
      </w:pPr>
      <w:r>
        <w:rPr>
          <w:color w:val="BFBFBF"/>
          <w:shd w:val="clear" w:color="auto" w:fill="#ddfbe6"/>
        </w:rPr>
        <w:tab/>
        <w:t>762</w:t>
        <w:tab/>
        <w:t>+</w:t>
        <w:tab/>
      </w:r>
      <w:r/>
    </w:p>
    <w:p>
      <w:pPr>
        <w:pStyle w:val="CodeChangeLine"/>
        <w:tabs>
          <w:tab w:pos="567" w:val="left"/>
          <w:tab w:pos="1134" w:val="left"/>
          <w:tab w:pos="1247" w:val="left"/>
        </w:tabs>
        <w:shd w:val="clear" w:color="auto" w:fill="ecfdf0"/>
      </w:pPr>
      <w:r>
        <w:rPr>
          <w:color w:val="BFBFBF"/>
          <w:shd w:val="clear" w:color="auto" w:fill="#ddfbe6"/>
        </w:rPr>
        <w:tab/>
        <w:t>763</w:t>
        <w:tab/>
        <w:t>+</w:t>
        <w:tab/>
      </w:r>
      <w:r>
        <w:t>- oneM2M discovery query/profile extension to request N-best candidate MN-CSE targets (not only one result), with deterministic ordering semantics.</w:t>
      </w:r>
    </w:p>
    <w:p>
      <w:pPr>
        <w:pStyle w:val="CodeChangeLine"/>
        <w:tabs>
          <w:tab w:pos="567" w:val="left"/>
          <w:tab w:pos="1134" w:val="left"/>
          <w:tab w:pos="1247" w:val="left"/>
        </w:tabs>
        <w:shd w:val="clear" w:color="auto" w:fill="ecfdf0"/>
      </w:pPr>
      <w:r>
        <w:rPr>
          <w:color w:val="BFBFBF"/>
          <w:shd w:val="clear" w:color="auto" w:fill="#ddfbe6"/>
        </w:rPr>
        <w:tab/>
        <w:t>764</w:t>
        <w:tab/>
        <w:t>+</w:t>
        <w:tab/>
      </w:r>
      <w:r>
        <w:t>- oneM2M target-selection policy extension to define normative scoring and tie-break rules (e.g. latency, radio quality, load, trust, and cost).</w:t>
      </w:r>
    </w:p>
    <w:p>
      <w:pPr>
        <w:pStyle w:val="CodeChangeLine"/>
        <w:tabs>
          <w:tab w:pos="567" w:val="left"/>
          <w:tab w:pos="1134" w:val="left"/>
          <w:tab w:pos="1247" w:val="left"/>
        </w:tabs>
        <w:shd w:val="clear" w:color="auto" w:fill="ecfdf0"/>
      </w:pPr>
      <w:r>
        <w:rPr>
          <w:color w:val="BFBFBF"/>
          <w:shd w:val="clear" w:color="auto" w:fill="#ddfbe6"/>
        </w:rPr>
        <w:tab/>
        <w:t>765</w:t>
        <w:tab/>
        <w:t>+</w:t>
        <w:tab/>
      </w:r>
      <w:r>
        <w:t>- oneM2M metadata normalization for candidate comparability across domains (common units, freshness indicators, confidence, and validity window).</w:t>
      </w:r>
    </w:p>
    <w:p>
      <w:pPr>
        <w:pStyle w:val="CodeChangeLine"/>
        <w:tabs>
          <w:tab w:pos="567" w:val="left"/>
          <w:tab w:pos="1134" w:val="left"/>
          <w:tab w:pos="1247" w:val="left"/>
        </w:tabs>
        <w:shd w:val="clear" w:color="auto" w:fill="ecfdf0"/>
      </w:pPr>
      <w:r>
        <w:rPr>
          <w:color w:val="BFBFBF"/>
          <w:shd w:val="clear" w:color="auto" w:fill="#ddfbe6"/>
        </w:rPr>
        <w:tab/>
        <w:t>766</w:t>
        <w:tab/>
        <w:t>+</w:t>
        <w:tab/>
      </w:r>
      <w:r>
        <w:t>- oneM2M filtering constraints to exclude ineligible candidates (policy conflict, trust-domain mismatch, unsupported capability, or insufficient resources).</w:t>
      </w:r>
    </w:p>
    <w:p>
      <w:pPr>
        <w:pStyle w:val="CodeChangeLine"/>
        <w:tabs>
          <w:tab w:pos="567" w:val="left"/>
          <w:tab w:pos="1134" w:val="left"/>
          <w:tab w:pos="1247" w:val="left"/>
        </w:tabs>
        <w:shd w:val="clear" w:color="auto" w:fill="ecfdf0"/>
      </w:pPr>
      <w:r>
        <w:rPr>
          <w:color w:val="BFBFBF"/>
          <w:shd w:val="clear" w:color="auto" w:fill="#ddfbe6"/>
        </w:rPr>
        <w:tab/>
        <w:t>767</w:t>
        <w:tab/>
        <w:t>+</w:t>
        <w:tab/>
      </w:r>
      <w:r>
        <w:t>- MEC discovery/ranking extension to expose multiple candidate MEC hosts with explicit ranking attributes and reason codes for candidate ordering.</w:t>
      </w:r>
    </w:p>
    <w:p>
      <w:pPr>
        <w:pStyle w:val="CodeChangeLine"/>
        <w:tabs>
          <w:tab w:pos="567" w:val="left"/>
          <w:tab w:pos="1134" w:val="left"/>
          <w:tab w:pos="1247" w:val="left"/>
        </w:tabs>
        <w:shd w:val="clear" w:color="auto" w:fill="ecfdf0"/>
      </w:pPr>
      <w:r>
        <w:rPr>
          <w:color w:val="BFBFBF"/>
          <w:shd w:val="clear" w:color="auto" w:fill="#ddfbe6"/>
        </w:rPr>
        <w:tab/>
        <w:t>768</w:t>
        <w:tab/>
        <w:t>+</w:t>
        <w:tab/>
      </w:r>
      <w:r>
        <w:t>- MEC-to-oneM2M interworking extension to provide the complete candidate set (including alternates) to the oneM2M handover decision function.</w:t>
      </w:r>
    </w:p>
    <w:p>
      <w:pPr>
        <w:pStyle w:val="CodeChangeLine"/>
        <w:tabs>
          <w:tab w:pos="567" w:val="left"/>
          <w:tab w:pos="1134" w:val="left"/>
          <w:tab w:pos="1247" w:val="left"/>
        </w:tabs>
        <w:shd w:val="clear" w:color="auto" w:fill="ecfdf0"/>
      </w:pPr>
      <w:r>
        <w:rPr>
          <w:color w:val="BFBFBF"/>
          <w:shd w:val="clear" w:color="auto" w:fill="#ddfbe6"/>
        </w:rPr>
        <w:tab/>
        <w:t>769</w:t>
        <w:tab/>
        <w:t>+</w:t>
        <w:tab/>
      </w:r>
      <w:r>
        <w:t>- Handover fallback semantics (oneM2M and/or MEC) so alternate candidates are tried deterministically when the preferred target fails admission, activation, or registration.</w:t>
      </w:r>
    </w:p>
    <w:p>
      <w:pPr>
        <w:pStyle w:val="CodeChangeLine"/>
        <w:tabs>
          <w:tab w:pos="567" w:val="left"/>
          <w:tab w:pos="1134" w:val="left"/>
          <w:tab w:pos="1247" w:val="left"/>
        </w:tabs>
        <w:shd w:val="clear" w:color="auto" w:fill="ecfdf0"/>
      </w:pPr>
      <w:r>
        <w:rPr>
          <w:color w:val="BFBFBF"/>
          <w:shd w:val="clear" w:color="auto" w:fill="#ddfbe6"/>
        </w:rPr>
        <w:tab/>
        <w:t>770</w:t>
        <w:tab/>
        <w:t>+</w:t>
        <w:tab/>
      </w:r>
      <w:r/>
    </w:p>
    <w:p>
      <w:pPr>
        <w:pStyle w:val="CodeChangeLine"/>
        <w:tabs>
          <w:tab w:pos="567" w:val="left"/>
          <w:tab w:pos="1134" w:val="left"/>
          <w:tab w:pos="1247" w:val="left"/>
        </w:tabs>
        <w:shd w:val="clear" w:color="auto" w:fill="ecfdf0"/>
      </w:pPr>
      <w:r>
        <w:rPr>
          <w:color w:val="BFBFBF"/>
          <w:shd w:val="clear" w:color="auto" w:fill="#ddfbe6"/>
        </w:rPr>
        <w:tab/>
        <w:t>771</w:t>
        <w:tab/>
        <w:t>+</w:t>
        <w:tab/>
      </w:r>
      <w:r>
        <w:t>#### 7.2.2.8 Lack of Deployment Control for Mobility-Aware Handover</w:t>
      </w:r>
    </w:p>
    <w:p>
      <w:pPr>
        <w:pStyle w:val="CodeChangeLine"/>
        <w:tabs>
          <w:tab w:pos="567" w:val="left"/>
          <w:tab w:pos="1134" w:val="left"/>
          <w:tab w:pos="1247" w:val="left"/>
        </w:tabs>
        <w:shd w:val="clear" w:color="auto" w:fill="ecfdf0"/>
      </w:pPr>
      <w:r>
        <w:rPr>
          <w:color w:val="BFBFBF"/>
          <w:shd w:val="clear" w:color="auto" w:fill="#ddfbe6"/>
        </w:rPr>
        <w:tab/>
        <w:t>772</w:t>
        <w:tab/>
        <w:t>+</w:t>
        <w:tab/>
      </w:r>
      <w:r/>
    </w:p>
    <w:p>
      <w:pPr>
        <w:pStyle w:val="CodeChangeLine"/>
        <w:tabs>
          <w:tab w:pos="567" w:val="left"/>
          <w:tab w:pos="1134" w:val="left"/>
          <w:tab w:pos="1247" w:val="left"/>
        </w:tabs>
        <w:shd w:val="clear" w:color="auto" w:fill="ecfdf0"/>
      </w:pPr>
      <w:r>
        <w:rPr>
          <w:color w:val="BFBFBF"/>
          <w:shd w:val="clear" w:color="auto" w:fill="#ddfbe6"/>
        </w:rPr>
        <w:tab/>
        <w:t>773</w:t>
        <w:tab/>
        <w:t>+</w:t>
        <w:tab/>
      </w:r>
      <w:r>
        <w:t>Gap boundary: This subclause focuses on target readiness control (onboarding/instantiation/activation) before serving switch; it complements candidate selection gaps in 7.2.2.6 and 7.2.2.7.</w:t>
      </w:r>
    </w:p>
    <w:p>
      <w:pPr>
        <w:pStyle w:val="CodeChangeLine"/>
        <w:tabs>
          <w:tab w:pos="567" w:val="left"/>
          <w:tab w:pos="1134" w:val="left"/>
          <w:tab w:pos="1247" w:val="left"/>
        </w:tabs>
        <w:shd w:val="clear" w:color="auto" w:fill="ecfdf0"/>
      </w:pPr>
      <w:r>
        <w:rPr>
          <w:color w:val="BFBFBF"/>
          <w:shd w:val="clear" w:color="auto" w:fill="#ddfbe6"/>
        </w:rPr>
        <w:tab/>
        <w:t>774</w:t>
        <w:tab/>
        <w:t>+</w:t>
        <w:tab/>
      </w:r>
      <w:r/>
    </w:p>
    <w:p>
      <w:pPr>
        <w:pStyle w:val="CodeChangeLine"/>
        <w:tabs>
          <w:tab w:pos="567" w:val="left"/>
          <w:tab w:pos="1134" w:val="left"/>
          <w:tab w:pos="1247" w:val="left"/>
        </w:tabs>
        <w:shd w:val="clear" w:color="auto" w:fill="ecfdf0"/>
      </w:pPr>
      <w:r>
        <w:rPr>
          <w:color w:val="BFBFBF"/>
          <w:shd w:val="clear" w:color="auto" w:fill="#ddfbe6"/>
        </w:rPr>
        <w:tab/>
        <w:t>775</w:t>
        <w:tab/>
        <w:t>+</w:t>
        <w:tab/>
      </w:r>
      <w:r>
        <w:t>In mobility-aware handover, the selected target MN-CSE may need to be instantiated, activated, or onboarded on a MEC platform before the serving-CSE switch can complete. Current specifications do not provide a normative control model that aligns oneM2M handover intent with MEC lifecycle responsibilities.</w:t>
      </w:r>
    </w:p>
    <w:p>
      <w:pPr>
        <w:pStyle w:val="CodeChangeLine"/>
        <w:tabs>
          <w:tab w:pos="567" w:val="left"/>
          <w:tab w:pos="1134" w:val="left"/>
          <w:tab w:pos="1247" w:val="left"/>
        </w:tabs>
        <w:shd w:val="clear" w:color="auto" w:fill="ecfdf0"/>
      </w:pPr>
      <w:r>
        <w:rPr>
          <w:color w:val="BFBFBF"/>
          <w:shd w:val="clear" w:color="auto" w:fill="#ddfbe6"/>
        </w:rPr>
        <w:tab/>
        <w:t>776</w:t>
        <w:tab/>
        <w:t>+</w:t>
        <w:tab/>
      </w:r>
      <w:r/>
    </w:p>
    <w:p>
      <w:pPr>
        <w:pStyle w:val="CodeChangeLine"/>
        <w:tabs>
          <w:tab w:pos="567" w:val="left"/>
          <w:tab w:pos="1134" w:val="left"/>
          <w:tab w:pos="1247" w:val="left"/>
        </w:tabs>
        <w:shd w:val="clear" w:color="auto" w:fill="ecfdf0"/>
      </w:pPr>
      <w:r>
        <w:rPr>
          <w:color w:val="BFBFBF"/>
          <w:shd w:val="clear" w:color="auto" w:fill="#ddfbe6"/>
        </w:rPr>
        <w:tab/>
        <w:t>777</w:t>
        <w:tab/>
        <w:t>+</w:t>
        <w:tab/>
      </w:r>
      <w:r>
        <w:t>As a result, oneM2M functions (e.g. IN-CSE or orchestration AE) cannot consistently request, authorize, and verify deployment readiness of target MN-CSEs across MEC domains. The specifications also do not define clear constraints for when a target platform outside direct IN-CSE administrative control can be used (for example, remote provisioning capability, trust agreement, and policy compatibility).</w:t>
      </w:r>
    </w:p>
    <w:p>
      <w:pPr>
        <w:pStyle w:val="CodeChangeLine"/>
        <w:tabs>
          <w:tab w:pos="567" w:val="left"/>
          <w:tab w:pos="1134" w:val="left"/>
          <w:tab w:pos="1247" w:val="left"/>
        </w:tabs>
        <w:shd w:val="clear" w:color="auto" w:fill="ecfdf0"/>
      </w:pPr>
      <w:r>
        <w:rPr>
          <w:color w:val="BFBFBF"/>
          <w:shd w:val="clear" w:color="auto" w:fill="#ddfbe6"/>
        </w:rPr>
        <w:tab/>
        <w:t>778</w:t>
        <w:tab/>
        <w:t>+</w:t>
        <w:tab/>
      </w:r>
      <w:r/>
    </w:p>
    <w:p>
      <w:pPr>
        <w:pStyle w:val="CodeChangeLine"/>
        <w:tabs>
          <w:tab w:pos="567" w:val="left"/>
          <w:tab w:pos="1134" w:val="left"/>
          <w:tab w:pos="1247" w:val="left"/>
        </w:tabs>
        <w:shd w:val="clear" w:color="auto" w:fill="ecfdf0"/>
      </w:pPr>
      <w:r>
        <w:rPr>
          <w:color w:val="BFBFBF"/>
          <w:shd w:val="clear" w:color="auto" w:fill="#ddfbe6"/>
        </w:rPr>
        <w:tab/>
        <w:t>779</w:t>
        <w:tab/>
        <w:t>+</w:t>
        <w:tab/>
      </w:r>
      <w:r>
        <w:t>This gap can delay or block handover completion, create inconsistent activation workflows, and prevent deterministic fallback when the preferred target cannot be prepared in time.</w:t>
      </w:r>
    </w:p>
    <w:p>
      <w:pPr>
        <w:pStyle w:val="CodeChangeLine"/>
        <w:tabs>
          <w:tab w:pos="567" w:val="left"/>
          <w:tab w:pos="1134" w:val="left"/>
          <w:tab w:pos="1247" w:val="left"/>
        </w:tabs>
        <w:shd w:val="clear" w:color="auto" w:fill="ecfdf0"/>
      </w:pPr>
      <w:r>
        <w:rPr>
          <w:color w:val="BFBFBF"/>
          <w:shd w:val="clear" w:color="auto" w:fill="#ddfbe6"/>
        </w:rPr>
        <w:tab/>
        <w:t>780</w:t>
        <w:tab/>
        <w:t>+</w:t>
        <w:tab/>
      </w:r>
      <w:r>
        <w:t xml:space="preserve"> </w:t>
      </w:r>
    </w:p>
    <w:p>
      <w:pPr>
        <w:pStyle w:val="CodeChangeLine"/>
        <w:tabs>
          <w:tab w:pos="567" w:val="left"/>
          <w:tab w:pos="1134" w:val="left"/>
          <w:tab w:pos="1247" w:val="left"/>
        </w:tabs>
        <w:shd w:val="clear" w:color="auto" w:fill="ecfdf0"/>
      </w:pPr>
      <w:r>
        <w:rPr>
          <w:color w:val="BFBFBF"/>
          <w:shd w:val="clear" w:color="auto" w:fill="#ddfbe6"/>
        </w:rPr>
        <w:tab/>
        <w:t>781</w:t>
        <w:tab/>
        <w:t>+</w:t>
        <w:tab/>
      </w:r>
      <w:r>
        <w:t xml:space="preserve">&lt;mark&gt;[ISG MEC]: </w:t>
      </w:r>
    </w:p>
    <w:p>
      <w:pPr>
        <w:pStyle w:val="CodeChangeLine"/>
        <w:tabs>
          <w:tab w:pos="567" w:val="left"/>
          <w:tab w:pos="1134" w:val="left"/>
          <w:tab w:pos="1247" w:val="left"/>
        </w:tabs>
        <w:shd w:val="clear" w:color="auto" w:fill="ecfdf0"/>
      </w:pPr>
      <w:r>
        <w:rPr>
          <w:color w:val="BFBFBF"/>
          <w:shd w:val="clear" w:color="auto" w:fill="#ddfbe6"/>
        </w:rPr>
        <w:tab/>
        <w:t>782</w:t>
        <w:tab/>
        <w:t>+</w:t>
        <w:tab/>
      </w:r>
      <w:r>
        <w:t>It was highlighted that the MEO is not responsible for triggering onboarding and instantiation of a MEC application. This is the responsibility of the administrator (OSS or CFS portal). The MEO executes the instantiation and termination of the MEC application on the MEC platform.</w:t>
      </w:r>
    </w:p>
    <w:p>
      <w:pPr>
        <w:pStyle w:val="CodeChangeLine"/>
        <w:tabs>
          <w:tab w:pos="567" w:val="left"/>
          <w:tab w:pos="1134" w:val="left"/>
          <w:tab w:pos="1247" w:val="left"/>
        </w:tabs>
        <w:shd w:val="clear" w:color="auto" w:fill="ecfdf0"/>
      </w:pPr>
      <w:r>
        <w:rPr>
          <w:color w:val="BFBFBF"/>
          <w:shd w:val="clear" w:color="auto" w:fill="#ddfbe6"/>
        </w:rPr>
        <w:tab/>
        <w:t>783</w:t>
        <w:tab/>
        <w:t>+</w:t>
        <w:tab/>
      </w:r>
      <w:r>
        <w:t>Further discussion is required.</w:t>
      </w:r>
    </w:p>
    <w:p>
      <w:pPr>
        <w:pStyle w:val="CodeChangeLine"/>
        <w:tabs>
          <w:tab w:pos="567" w:val="left"/>
          <w:tab w:pos="1134" w:val="left"/>
          <w:tab w:pos="1247" w:val="left"/>
        </w:tabs>
        <w:shd w:val="clear" w:color="auto" w:fill="ecfdf0"/>
      </w:pPr>
      <w:r>
        <w:rPr>
          <w:color w:val="BFBFBF"/>
          <w:shd w:val="clear" w:color="auto" w:fill="#ddfbe6"/>
        </w:rPr>
        <w:tab/>
        <w:t>784</w:t>
        <w:tab/>
        <w:t>+</w:t>
        <w:tab/>
      </w:r>
      <w:r>
        <w:t>&lt;/mark&gt;</w:t>
      </w:r>
    </w:p>
    <w:p>
      <w:pPr>
        <w:pStyle w:val="CodeChangeLine"/>
        <w:tabs>
          <w:tab w:pos="567" w:val="left"/>
          <w:tab w:pos="1134" w:val="left"/>
          <w:tab w:pos="1247" w:val="left"/>
        </w:tabs>
        <w:shd w:val="clear" w:color="auto" w:fill="ecfdf0"/>
      </w:pPr>
      <w:r>
        <w:rPr>
          <w:color w:val="BFBFBF"/>
          <w:shd w:val="clear" w:color="auto" w:fill="#ddfbe6"/>
        </w:rPr>
        <w:tab/>
        <w:t>785</w:t>
        <w:tab/>
        <w:t>+</w:t>
        <w:tab/>
      </w:r>
      <w:r/>
    </w:p>
    <w:p>
      <w:pPr>
        <w:pStyle w:val="CodeChangeLine"/>
        <w:tabs>
          <w:tab w:pos="567" w:val="left"/>
          <w:tab w:pos="1134" w:val="left"/>
          <w:tab w:pos="1247" w:val="left"/>
        </w:tabs>
        <w:shd w:val="clear" w:color="auto" w:fill="ecfdf0"/>
      </w:pPr>
      <w:r>
        <w:rPr>
          <w:color w:val="BFBFBF"/>
          <w:shd w:val="clear" w:color="auto" w:fill="#ddfbe6"/>
        </w:rPr>
        <w:tab/>
        <w:t>786</w:t>
        <w:tab/>
        <w:t>+</w:t>
        <w:tab/>
      </w:r>
      <w:r>
        <w:t>Open issue OI-7.2-02 (from ISG MEC discussions):</w:t>
      </w:r>
    </w:p>
    <w:p>
      <w:pPr>
        <w:pStyle w:val="CodeChangeLine"/>
        <w:tabs>
          <w:tab w:pos="567" w:val="left"/>
          <w:tab w:pos="1134" w:val="left"/>
          <w:tab w:pos="1247" w:val="left"/>
        </w:tabs>
        <w:shd w:val="clear" w:color="auto" w:fill="ecfdf0"/>
      </w:pPr>
      <w:r>
        <w:rPr>
          <w:color w:val="BFBFBF"/>
          <w:shd w:val="clear" w:color="auto" w:fill="#ddfbe6"/>
        </w:rPr>
        <w:tab/>
        <w:t>787</w:t>
        <w:tab/>
        <w:t>+</w:t>
        <w:tab/>
      </w:r>
      <w:r/>
    </w:p>
    <w:p>
      <w:pPr>
        <w:pStyle w:val="CodeChangeLine"/>
        <w:tabs>
          <w:tab w:pos="567" w:val="left"/>
          <w:tab w:pos="1134" w:val="left"/>
          <w:tab w:pos="1247" w:val="left"/>
        </w:tabs>
        <w:shd w:val="clear" w:color="auto" w:fill="ecfdf0"/>
      </w:pPr>
      <w:r>
        <w:rPr>
          <w:color w:val="BFBFBF"/>
          <w:shd w:val="clear" w:color="auto" w:fill="#ddfbe6"/>
        </w:rPr>
        <w:tab/>
        <w:t>788</w:t>
        <w:tab/>
        <w:t>+</w:t>
        <w:tab/>
      </w:r>
      <w:r>
        <w:t>- Decision needed: explicit responsibility split between administrative onboarding trigger and MEO execution responsibilities.</w:t>
      </w:r>
    </w:p>
    <w:p>
      <w:pPr>
        <w:pStyle w:val="CodeChangeLine"/>
        <w:tabs>
          <w:tab w:pos="567" w:val="left"/>
          <w:tab w:pos="1134" w:val="left"/>
          <w:tab w:pos="1247" w:val="left"/>
        </w:tabs>
        <w:shd w:val="clear" w:color="auto" w:fill="ecfdf0"/>
      </w:pPr>
      <w:r>
        <w:rPr>
          <w:color w:val="BFBFBF"/>
          <w:shd w:val="clear" w:color="auto" w:fill="#ddfbe6"/>
        </w:rPr>
        <w:tab/>
        <w:t>789</w:t>
        <w:tab/>
        <w:t>+</w:t>
        <w:tab/>
      </w:r>
      <w:r>
        <w:t>- Observed concern: current role split can delay readiness confirmation during handover.</w:t>
      </w:r>
    </w:p>
    <w:p>
      <w:pPr>
        <w:pStyle w:val="CodeChangeLine"/>
        <w:tabs>
          <w:tab w:pos="567" w:val="left"/>
          <w:tab w:pos="1134" w:val="left"/>
          <w:tab w:pos="1247" w:val="left"/>
        </w:tabs>
        <w:shd w:val="clear" w:color="auto" w:fill="ecfdf0"/>
      </w:pPr>
      <w:r>
        <w:rPr>
          <w:color w:val="BFBFBF"/>
          <w:shd w:val="clear" w:color="auto" w:fill="#ddfbe6"/>
        </w:rPr>
        <w:tab/>
        <w:t>790</w:t>
        <w:tab/>
        <w:t>+</w:t>
        <w:tab/>
      </w:r>
      <w:r>
        <w:t>- Unresolved point: common readiness-state model and timeout/fallback expectations across domains.</w:t>
      </w:r>
    </w:p>
    <w:p>
      <w:pPr>
        <w:pStyle w:val="CodeChangeLine"/>
        <w:tabs>
          <w:tab w:pos="567" w:val="left"/>
          <w:tab w:pos="1134" w:val="left"/>
          <w:tab w:pos="1247" w:val="left"/>
        </w:tabs>
        <w:shd w:val="clear" w:color="auto" w:fill="ecfdf0"/>
      </w:pPr>
      <w:r>
        <w:rPr>
          <w:color w:val="BFBFBF"/>
          <w:shd w:val="clear" w:color="auto" w:fill="#ddfbe6"/>
        </w:rPr>
        <w:tab/>
        <w:t>791</w:t>
        <w:tab/>
        <w:t>+</w:t>
        <w:tab/>
      </w:r>
      <w:r/>
    </w:p>
    <w:p>
      <w:pPr>
        <w:pStyle w:val="CodeChangeLine"/>
        <w:tabs>
          <w:tab w:pos="567" w:val="left"/>
          <w:tab w:pos="1134" w:val="left"/>
          <w:tab w:pos="1247" w:val="left"/>
        </w:tabs>
        <w:shd w:val="clear" w:color="auto" w:fill="ecfdf0"/>
      </w:pPr>
      <w:r>
        <w:rPr>
          <w:color w:val="BFBFBF"/>
          <w:shd w:val="clear" w:color="auto" w:fill="#ddfbe6"/>
        </w:rPr>
        <w:tab/>
        <w:t>792</w:t>
        <w:tab/>
        <w:t>+</w:t>
        <w:tab/>
      </w:r>
      <w:r>
        <w:t>**Possible Extensions to Related oneM2M/MEC Elements**</w:t>
      </w:r>
    </w:p>
    <w:p>
      <w:pPr>
        <w:pStyle w:val="CodeChangeLine"/>
        <w:tabs>
          <w:tab w:pos="567" w:val="left"/>
          <w:tab w:pos="1134" w:val="left"/>
          <w:tab w:pos="1247" w:val="left"/>
        </w:tabs>
        <w:shd w:val="clear" w:color="auto" w:fill="ecfdf0"/>
      </w:pPr>
      <w:r>
        <w:rPr>
          <w:color w:val="BFBFBF"/>
          <w:shd w:val="clear" w:color="auto" w:fill="#ddfbe6"/>
        </w:rPr>
        <w:tab/>
        <w:t>793</w:t>
        <w:tab/>
        <w:t>+</w:t>
        <w:tab/>
      </w:r>
      <w:r/>
    </w:p>
    <w:p>
      <w:pPr>
        <w:pStyle w:val="CodeChangeLine"/>
        <w:tabs>
          <w:tab w:pos="567" w:val="left"/>
          <w:tab w:pos="1134" w:val="left"/>
          <w:tab w:pos="1247" w:val="left"/>
        </w:tabs>
        <w:shd w:val="clear" w:color="auto" w:fill="ecfdf0"/>
      </w:pPr>
      <w:r>
        <w:rPr>
          <w:color w:val="BFBFBF"/>
          <w:shd w:val="clear" w:color="auto" w:fill="#ddfbe6"/>
        </w:rPr>
        <w:tab/>
        <w:t>794</w:t>
        <w:tab/>
        <w:t>+</w:t>
        <w:tab/>
      </w:r>
      <w:r>
        <w:t>- oneM2M handover-intent extension to express target deployment requirements (e.g. target class, readiness deadline, and required capabilities).</w:t>
      </w:r>
    </w:p>
    <w:p>
      <w:pPr>
        <w:pStyle w:val="CodeChangeLine"/>
        <w:tabs>
          <w:tab w:pos="567" w:val="left"/>
          <w:tab w:pos="1134" w:val="left"/>
          <w:tab w:pos="1247" w:val="left"/>
        </w:tabs>
        <w:shd w:val="clear" w:color="auto" w:fill="ecfdf0"/>
      </w:pPr>
      <w:r>
        <w:rPr>
          <w:color w:val="BFBFBF"/>
          <w:shd w:val="clear" w:color="auto" w:fill="#ddfbe6"/>
        </w:rPr>
        <w:tab/>
        <w:t>795</w:t>
        <w:tab/>
        <w:t>+</w:t>
        <w:tab/>
      </w:r>
      <w:r>
        <w:t>- oneM2M policy/trust extension to encode deployment authority constraints (same-domain only, delegated domain, or federated domain with explicit trust).</w:t>
      </w:r>
    </w:p>
    <w:p>
      <w:pPr>
        <w:pStyle w:val="CodeChangeLine"/>
        <w:tabs>
          <w:tab w:pos="567" w:val="left"/>
          <w:tab w:pos="1134" w:val="left"/>
          <w:tab w:pos="1247" w:val="left"/>
        </w:tabs>
        <w:shd w:val="clear" w:color="auto" w:fill="ecfdf0"/>
      </w:pPr>
      <w:r>
        <w:rPr>
          <w:color w:val="BFBFBF"/>
          <w:shd w:val="clear" w:color="auto" w:fill="#ddfbe6"/>
        </w:rPr>
        <w:tab/>
        <w:t>796</w:t>
        <w:tab/>
        <w:t>+</w:t>
        <w:tab/>
      </w:r>
      <w:r>
        <w:t>- oneM2M orchestration status model for target preparation states and failures (requested, admitted, onboarding pending, instantiated, activation failed, timeout).</w:t>
      </w:r>
    </w:p>
    <w:p>
      <w:pPr>
        <w:pStyle w:val="CodeChangeLine"/>
        <w:tabs>
          <w:tab w:pos="567" w:val="left"/>
          <w:tab w:pos="1134" w:val="left"/>
          <w:tab w:pos="1247" w:val="left"/>
        </w:tabs>
        <w:shd w:val="clear" w:color="auto" w:fill="ecfdf0"/>
      </w:pPr>
      <w:r>
        <w:rPr>
          <w:color w:val="BFBFBF"/>
          <w:shd w:val="clear" w:color="auto" w:fill="#ddfbe6"/>
        </w:rPr>
        <w:tab/>
        <w:t>797</w:t>
        <w:tab/>
        <w:t>+</w:t>
        <w:tab/>
      </w:r>
      <w:r>
        <w:t>- oneM2M to MEC interworking profile that maps handover intent to MEC lifecycle and OSS/CFS onboarding workflows, including asynchronous status callbacks.</w:t>
      </w:r>
    </w:p>
    <w:p>
      <w:pPr>
        <w:pStyle w:val="CodeChangeLine"/>
        <w:tabs>
          <w:tab w:pos="567" w:val="left"/>
          <w:tab w:pos="1134" w:val="left"/>
          <w:tab w:pos="1247" w:val="left"/>
        </w:tabs>
        <w:shd w:val="clear" w:color="auto" w:fill="ecfdf0"/>
      </w:pPr>
      <w:r>
        <w:rPr>
          <w:color w:val="BFBFBF"/>
          <w:shd w:val="clear" w:color="auto" w:fill="#ddfbe6"/>
        </w:rPr>
        <w:tab/>
        <w:t>798</w:t>
        <w:tab/>
        <w:t>+</w:t>
        <w:tab/>
      </w:r>
      <w:r>
        <w:t>- MEC lifecycle API/profile extension to expose preconditions and reason codes for onboarding, instantiation, and termination decisions relevant to handover.</w:t>
      </w:r>
    </w:p>
    <w:p>
      <w:pPr>
        <w:pStyle w:val="CodeChangeLine"/>
        <w:tabs>
          <w:tab w:pos="567" w:val="left"/>
          <w:tab w:pos="1134" w:val="left"/>
          <w:tab w:pos="1247" w:val="left"/>
        </w:tabs>
        <w:shd w:val="clear" w:color="auto" w:fill="ecfdf0"/>
      </w:pPr>
      <w:r>
        <w:rPr>
          <w:color w:val="BFBFBF"/>
          <w:shd w:val="clear" w:color="auto" w:fill="#ddfbe6"/>
        </w:rPr>
        <w:tab/>
        <w:t>799</w:t>
        <w:tab/>
        <w:t>+</w:t>
        <w:tab/>
      </w:r>
      <w:r>
        <w:t>- MEC inventory extension to advertise MN-CSE hosting readiness and administrative ownership in a form consumable by oneM2M target selection.</w:t>
      </w:r>
    </w:p>
    <w:p>
      <w:pPr>
        <w:pStyle w:val="CodeChangeLine"/>
        <w:tabs>
          <w:tab w:pos="567" w:val="left"/>
          <w:tab w:pos="1134" w:val="left"/>
          <w:tab w:pos="1247" w:val="left"/>
        </w:tabs>
        <w:shd w:val="clear" w:color="auto" w:fill="ecfdf0"/>
      </w:pPr>
      <w:r>
        <w:rPr>
          <w:color w:val="BFBFBF"/>
          <w:shd w:val="clear" w:color="auto" w:fill="#ddfbe6"/>
        </w:rPr>
        <w:tab/>
        <w:t>800</w:t>
        <w:tab/>
        <w:t>+</w:t>
        <w:tab/>
      </w:r>
      <w:r>
        <w:t>- Deterministic fallback semantics (oneM2M and/or MEC) to switch to the next ranked target when deployment preparation of the preferred target fails or exceeds policy time bounds.</w:t>
      </w:r>
    </w:p>
    <w:p>
      <w:pPr>
        <w:pStyle w:val="CodeChangeLine"/>
        <w:tabs>
          <w:tab w:pos="567" w:val="left"/>
          <w:tab w:pos="1134" w:val="left"/>
          <w:tab w:pos="1247" w:val="left"/>
        </w:tabs>
        <w:shd w:val="clear" w:color="auto" w:fill="ecfdf0"/>
      </w:pPr>
      <w:r>
        <w:rPr>
          <w:color w:val="BFBFBF"/>
          <w:shd w:val="clear" w:color="auto" w:fill="#ddfbe6"/>
        </w:rPr>
        <w:tab/>
        <w:t>801</w:t>
        <w:tab/>
        <w:t>+</w:t>
        <w:tab/>
      </w:r>
      <w:r/>
    </w:p>
    <w:p>
      <w:pPr>
        <w:pStyle w:val="CodeChangeLine"/>
        <w:tabs>
          <w:tab w:pos="567" w:val="left"/>
          <w:tab w:pos="1134" w:val="left"/>
          <w:tab w:pos="1247" w:val="left"/>
        </w:tabs>
        <w:shd w:val="clear" w:color="auto" w:fill="ecfdf0"/>
      </w:pPr>
      <w:r>
        <w:rPr>
          <w:color w:val="BFBFBF"/>
          <w:shd w:val="clear" w:color="auto" w:fill="#ddfbe6"/>
        </w:rPr>
        <w:tab/>
        <w:t>802</w:t>
        <w:tab/>
        <w:t>+</w:t>
        <w:tab/>
      </w:r>
      <w:r>
        <w:t>#### 7.2.2.9 Lack of MEC Platform Metrics for Utilization-Based Handover Decisions</w:t>
      </w:r>
    </w:p>
    <w:p>
      <w:pPr>
        <w:pStyle w:val="CodeChangeLine"/>
        <w:tabs>
          <w:tab w:pos="567" w:val="left"/>
          <w:tab w:pos="1134" w:val="left"/>
          <w:tab w:pos="1247" w:val="left"/>
        </w:tabs>
        <w:shd w:val="clear" w:color="auto" w:fill="ecfdf0"/>
      </w:pPr>
      <w:r>
        <w:rPr>
          <w:color w:val="BFBFBF"/>
          <w:shd w:val="clear" w:color="auto" w:fill="#ddfbe6"/>
        </w:rPr>
        <w:tab/>
        <w:t>803</w:t>
        <w:tab/>
        <w:t>+</w:t>
        <w:tab/>
      </w:r>
      <w:r/>
    </w:p>
    <w:p>
      <w:pPr>
        <w:pStyle w:val="CodeChangeLine"/>
        <w:tabs>
          <w:tab w:pos="567" w:val="left"/>
          <w:tab w:pos="1134" w:val="left"/>
          <w:tab w:pos="1247" w:val="left"/>
        </w:tabs>
        <w:shd w:val="clear" w:color="auto" w:fill="ecfdf0"/>
      </w:pPr>
      <w:r>
        <w:rPr>
          <w:color w:val="BFBFBF"/>
          <w:shd w:val="clear" w:color="auto" w:fill="#ddfbe6"/>
        </w:rPr>
        <w:tab/>
        <w:t>804</w:t>
        <w:tab/>
        <w:t>+</w:t>
        <w:tab/>
      </w:r>
      <w:r>
        <w:t>Gap boundary: This subclause focuses on standardized utilization observability and its relation to handover decisions, distinct from policy authority questions in 7.2.2.11.</w:t>
      </w:r>
    </w:p>
    <w:p>
      <w:pPr>
        <w:pStyle w:val="CodeChangeLine"/>
        <w:tabs>
          <w:tab w:pos="567" w:val="left"/>
          <w:tab w:pos="1134" w:val="left"/>
          <w:tab w:pos="1247" w:val="left"/>
        </w:tabs>
        <w:shd w:val="clear" w:color="auto" w:fill="ecfdf0"/>
      </w:pPr>
      <w:r>
        <w:rPr>
          <w:color w:val="BFBFBF"/>
          <w:shd w:val="clear" w:color="auto" w:fill="#ddfbe6"/>
        </w:rPr>
        <w:tab/>
        <w:t>805</w:t>
        <w:tab/>
        <w:t>+</w:t>
        <w:tab/>
      </w:r>
      <w:r/>
    </w:p>
    <w:p>
      <w:pPr>
        <w:pStyle w:val="CodeChangeLine"/>
        <w:tabs>
          <w:tab w:pos="567" w:val="left"/>
          <w:tab w:pos="1134" w:val="left"/>
          <w:tab w:pos="1247" w:val="left"/>
        </w:tabs>
        <w:shd w:val="clear" w:color="auto" w:fill="ecfdf0"/>
      </w:pPr>
      <w:r>
        <w:rPr>
          <w:color w:val="BFBFBF"/>
          <w:shd w:val="clear" w:color="auto" w:fill="#ddfbe6"/>
        </w:rPr>
        <w:tab/>
        <w:t>806</w:t>
        <w:tab/>
        <w:t>+</w:t>
        <w:tab/>
      </w:r>
      <w:r>
        <w:t>Handover decisions based on resource utilization require that the oneM2M decision function (e.g. IN-CSE orchestration AE or MEO) can observe real-time and aggregate platform metrics—such as CPU load, memory utilization, network throughput, and latency—for candidate MEC hosts. Current MEC specifications do not define a standardized, queryable service that exposes these metrics in a form consumable by oneM2M handover logic.</w:t>
      </w:r>
    </w:p>
    <w:p>
      <w:pPr>
        <w:pStyle w:val="CodeChangeLine"/>
        <w:tabs>
          <w:tab w:pos="567" w:val="left"/>
          <w:tab w:pos="1134" w:val="left"/>
          <w:tab w:pos="1247" w:val="left"/>
        </w:tabs>
        <w:shd w:val="clear" w:color="auto" w:fill="ecfdf0"/>
      </w:pPr>
      <w:r>
        <w:rPr>
          <w:color w:val="BFBFBF"/>
          <w:shd w:val="clear" w:color="auto" w:fill="#ddfbe6"/>
        </w:rPr>
        <w:tab/>
        <w:t>807</w:t>
        <w:tab/>
        <w:t>+</w:t>
        <w:tab/>
      </w:r>
      <w:r/>
    </w:p>
    <w:p>
      <w:pPr>
        <w:pStyle w:val="CodeChangeLine"/>
        <w:tabs>
          <w:tab w:pos="567" w:val="left"/>
          <w:tab w:pos="1134" w:val="left"/>
          <w:tab w:pos="1247" w:val="left"/>
        </w:tabs>
        <w:shd w:val="clear" w:color="auto" w:fill="ecfdf0"/>
      </w:pPr>
      <w:r>
        <w:rPr>
          <w:color w:val="BFBFBF"/>
          <w:shd w:val="clear" w:color="auto" w:fill="#ddfbe6"/>
        </w:rPr>
        <w:tab/>
        <w:t>808</w:t>
        <w:tab/>
        <w:t>+</w:t>
        <w:tab/>
      </w:r>
      <w:r>
        <w:t>As a result, utilization-triggered handover decisions rely on implementation-specific data sources or proprietary APIs, making consistent load-balancing and resource-aware handover across deployments impossible. The same limitation applies beyond mobility to other oneM2M workloads, including Federated Learning client selection and Swarm Computing node assignment, where MEC platform utilization is also a meaningful selection criterion.</w:t>
      </w:r>
    </w:p>
    <w:p>
      <w:pPr>
        <w:pStyle w:val="CodeChangeLine"/>
        <w:tabs>
          <w:tab w:pos="567" w:val="left"/>
          <w:tab w:pos="1134" w:val="left"/>
          <w:tab w:pos="1247" w:val="left"/>
        </w:tabs>
        <w:shd w:val="clear" w:color="auto" w:fill="ecfdf0"/>
      </w:pPr>
      <w:r>
        <w:rPr>
          <w:color w:val="BFBFBF"/>
          <w:shd w:val="clear" w:color="auto" w:fill="#ddfbe6"/>
        </w:rPr>
        <w:tab/>
        <w:t>809</w:t>
        <w:tab/>
        <w:t>+</w:t>
        <w:tab/>
      </w:r>
      <w:r/>
    </w:p>
    <w:p>
      <w:pPr>
        <w:pStyle w:val="CodeChangeLine"/>
        <w:tabs>
          <w:tab w:pos="567" w:val="left"/>
          <w:tab w:pos="1134" w:val="left"/>
          <w:tab w:pos="1247" w:val="left"/>
        </w:tabs>
        <w:shd w:val="clear" w:color="auto" w:fill="ecfdf0"/>
      </w:pPr>
      <w:r>
        <w:rPr>
          <w:color w:val="BFBFBF"/>
          <w:shd w:val="clear" w:color="auto" w:fill="#ddfbe6"/>
        </w:rPr>
        <w:tab/>
        <w:t>810</w:t>
        <w:tab/>
        <w:t>+</w:t>
        <w:tab/>
      </w:r>
      <w:r>
        <w:t>An additional constraint arises from the placement dependency between a oneM2M AE and the data stored on its serving MN-CSE: migrating an AE to a less-loaded MEC host is only meaningful if the associated data can also be moved or remains accessible. Platform metrics alone are insufficient without a corresponding data-placement and reachability model.</w:t>
      </w:r>
    </w:p>
    <w:p>
      <w:pPr>
        <w:pStyle w:val="CodeChangeLine"/>
        <w:tabs>
          <w:tab w:pos="567" w:val="left"/>
          <w:tab w:pos="1134" w:val="left"/>
          <w:tab w:pos="1247" w:val="left"/>
        </w:tabs>
        <w:shd w:val="clear" w:color="auto" w:fill="ecfdf0"/>
      </w:pPr>
      <w:r>
        <w:rPr>
          <w:color w:val="BFBFBF"/>
          <w:shd w:val="clear" w:color="auto" w:fill="#ddfbe6"/>
        </w:rPr>
        <w:tab/>
        <w:t>811</w:t>
        <w:tab/>
        <w:t>+</w:t>
        <w:tab/>
      </w:r>
      <w:r/>
    </w:p>
    <w:p>
      <w:pPr>
        <w:pStyle w:val="CodeChangeLine"/>
        <w:tabs>
          <w:tab w:pos="567" w:val="left"/>
          <w:tab w:pos="1134" w:val="left"/>
          <w:tab w:pos="1247" w:val="left"/>
        </w:tabs>
        <w:shd w:val="clear" w:color="auto" w:fill="ecfdf0"/>
      </w:pPr>
      <w:r>
        <w:rPr>
          <w:color w:val="BFBFBF"/>
          <w:shd w:val="clear" w:color="auto" w:fill="#ddfbe6"/>
        </w:rPr>
        <w:tab/>
        <w:t>812</w:t>
        <w:tab/>
        <w:t>+</w:t>
        <w:tab/>
      </w:r>
      <w:r>
        <w:t>&lt;mark&gt;[ISG MEC]:</w:t>
      </w:r>
    </w:p>
    <w:p>
      <w:pPr>
        <w:pStyle w:val="CodeChangeLine"/>
        <w:tabs>
          <w:tab w:pos="567" w:val="left"/>
          <w:tab w:pos="1134" w:val="left"/>
          <w:tab w:pos="1247" w:val="left"/>
        </w:tabs>
        <w:shd w:val="clear" w:color="auto" w:fill="ecfdf0"/>
      </w:pPr>
      <w:r>
        <w:rPr>
          <w:color w:val="BFBFBF"/>
          <w:shd w:val="clear" w:color="auto" w:fill="#ddfbe6"/>
        </w:rPr>
        <w:tab/>
        <w:t>813</w:t>
        <w:tab/>
        <w:t>+</w:t>
        <w:tab/>
      </w:r>
      <w:r>
        <w:t>The possibility of a new MEC Service providing global metrics of a MEC platform was considered without objection.</w:t>
      </w:r>
    </w:p>
    <w:p>
      <w:pPr>
        <w:pStyle w:val="CodeChangeLine"/>
        <w:tabs>
          <w:tab w:pos="567" w:val="left"/>
          <w:tab w:pos="1134" w:val="left"/>
          <w:tab w:pos="1247" w:val="left"/>
        </w:tabs>
        <w:shd w:val="clear" w:color="auto" w:fill="ecfdf0"/>
      </w:pPr>
      <w:r>
        <w:rPr>
          <w:color w:val="BFBFBF"/>
          <w:shd w:val="clear" w:color="auto" w:fill="#ddfbe6"/>
        </w:rPr>
        <w:tab/>
        <w:t>814</w:t>
        <w:tab/>
        <w:t>+</w:t>
        <w:tab/>
      </w:r>
      <w:r>
        <w:t>On the other hand, it seems that the handover managed by device application as mentioned in MEC 021 Clause 5.6.2 is out of scope:</w:t>
      </w:r>
    </w:p>
    <w:p>
      <w:pPr>
        <w:pStyle w:val="CodeChangeLine"/>
        <w:tabs>
          <w:tab w:pos="567" w:val="left"/>
          <w:tab w:pos="1134" w:val="left"/>
          <w:tab w:pos="1247" w:val="left"/>
        </w:tabs>
        <w:shd w:val="clear" w:color="auto" w:fill="ecfdf0"/>
      </w:pPr>
      <w:r>
        <w:rPr>
          <w:color w:val="BFBFBF"/>
          <w:shd w:val="clear" w:color="auto" w:fill="#ddfbe6"/>
        </w:rPr>
        <w:tab/>
        <w:t>815</w:t>
        <w:tab/>
        <w:t>+</w:t>
        <w:tab/>
      </w:r>
      <w:r/>
    </w:p>
    <w:p>
      <w:pPr>
        <w:pStyle w:val="CodeChangeLine"/>
        <w:tabs>
          <w:tab w:pos="567" w:val="left"/>
          <w:tab w:pos="1134" w:val="left"/>
          <w:tab w:pos="1247" w:val="left"/>
        </w:tabs>
        <w:shd w:val="clear" w:color="auto" w:fill="ecfdf0"/>
      </w:pPr>
      <w:r>
        <w:rPr>
          <w:color w:val="BFBFBF"/>
          <w:shd w:val="clear" w:color="auto" w:fill="#ddfbe6"/>
        </w:rPr>
        <w:tab/>
        <w:t>816</w:t>
        <w:tab/>
        <w:t>+</w:t>
        <w:tab/>
      </w:r>
      <w:r>
        <w:t>5.6.2 Application self-controlled user context transfer</w:t>
      </w:r>
    </w:p>
    <w:p>
      <w:pPr>
        <w:pStyle w:val="CodeChangeLine"/>
        <w:tabs>
          <w:tab w:pos="567" w:val="left"/>
          <w:tab w:pos="1134" w:val="left"/>
          <w:tab w:pos="1247" w:val="left"/>
        </w:tabs>
        <w:shd w:val="clear" w:color="auto" w:fill="ecfdf0"/>
      </w:pPr>
      <w:r>
        <w:rPr>
          <w:color w:val="BFBFBF"/>
          <w:shd w:val="clear" w:color="auto" w:fill="#ddfbe6"/>
        </w:rPr>
        <w:tab/>
        <w:t>817</w:t>
        <w:tab/>
        <w:t>+</w:t>
        <w:tab/>
      </w:r>
      <w:r>
        <w:t>The application self-controlled user context transfer assumes the application (server side, client side, centralized cloud component) to be able to detect the need for the user context transfer by its own means. Furthermore, it assumes the application is able to execute the context transfer without assistance from the MEC system.</w:t>
      </w:r>
    </w:p>
    <w:p>
      <w:pPr>
        <w:pStyle w:val="CodeChangeLine"/>
        <w:tabs>
          <w:tab w:pos="567" w:val="left"/>
          <w:tab w:pos="1134" w:val="left"/>
          <w:tab w:pos="1247" w:val="left"/>
        </w:tabs>
        <w:shd w:val="clear" w:color="auto" w:fill="ecfdf0"/>
      </w:pPr>
      <w:r>
        <w:rPr>
          <w:color w:val="BFBFBF"/>
          <w:shd w:val="clear" w:color="auto" w:fill="#ddfbe6"/>
        </w:rPr>
        <w:tab/>
        <w:t>818</w:t>
        <w:tab/>
        <w:t>+</w:t>
        <w:tab/>
      </w:r>
      <w:r>
        <w:t>&lt;/mark&gt;</w:t>
      </w:r>
    </w:p>
    <w:p>
      <w:pPr>
        <w:pStyle w:val="CodeChangeLine"/>
        <w:tabs>
          <w:tab w:pos="567" w:val="left"/>
          <w:tab w:pos="1134" w:val="left"/>
          <w:tab w:pos="1247" w:val="left"/>
        </w:tabs>
        <w:shd w:val="clear" w:color="auto" w:fill="ecfdf0"/>
      </w:pPr>
      <w:r>
        <w:rPr>
          <w:color w:val="BFBFBF"/>
          <w:shd w:val="clear" w:color="auto" w:fill="#ddfbe6"/>
        </w:rPr>
        <w:tab/>
        <w:t>819</w:t>
        <w:tab/>
        <w:t>+</w:t>
        <w:tab/>
      </w:r>
      <w:r/>
    </w:p>
    <w:p>
      <w:pPr>
        <w:pStyle w:val="CodeChangeLine"/>
        <w:tabs>
          <w:tab w:pos="567" w:val="left"/>
          <w:tab w:pos="1134" w:val="left"/>
          <w:tab w:pos="1247" w:val="left"/>
        </w:tabs>
        <w:shd w:val="clear" w:color="auto" w:fill="ecfdf0"/>
      </w:pPr>
      <w:r>
        <w:rPr>
          <w:color w:val="BFBFBF"/>
          <w:shd w:val="clear" w:color="auto" w:fill="#ddfbe6"/>
        </w:rPr>
        <w:tab/>
        <w:t>820</w:t>
        <w:tab/>
        <w:t>+</w:t>
        <w:tab/>
      </w:r>
      <w:r>
        <w:t>Open issue OI-7.2-03 (from ISG MEC discussions):</w:t>
      </w:r>
    </w:p>
    <w:p>
      <w:pPr>
        <w:pStyle w:val="CodeChangeLine"/>
        <w:tabs>
          <w:tab w:pos="567" w:val="left"/>
          <w:tab w:pos="1134" w:val="left"/>
          <w:tab w:pos="1247" w:val="left"/>
        </w:tabs>
        <w:shd w:val="clear" w:color="auto" w:fill="ecfdf0"/>
      </w:pPr>
      <w:r>
        <w:rPr>
          <w:color w:val="BFBFBF"/>
          <w:shd w:val="clear" w:color="auto" w:fill="#ddfbe6"/>
        </w:rPr>
        <w:tab/>
        <w:t>821</w:t>
        <w:tab/>
        <w:t>+</w:t>
        <w:tab/>
      </w:r>
      <w:r/>
    </w:p>
    <w:p>
      <w:pPr>
        <w:pStyle w:val="CodeChangeLine"/>
        <w:tabs>
          <w:tab w:pos="567" w:val="left"/>
          <w:tab w:pos="1134" w:val="left"/>
          <w:tab w:pos="1247" w:val="left"/>
        </w:tabs>
        <w:shd w:val="clear" w:color="auto" w:fill="ecfdf0"/>
      </w:pPr>
      <w:r>
        <w:rPr>
          <w:color w:val="BFBFBF"/>
          <w:shd w:val="clear" w:color="auto" w:fill="#ddfbe6"/>
        </w:rPr>
        <w:tab/>
        <w:t>822</w:t>
        <w:tab/>
        <w:t>+</w:t>
        <w:tab/>
      </w:r>
      <w:r>
        <w:t>- Decision needed: minimum common MEC platform metric set and exposure model relevant to handover.</w:t>
      </w:r>
    </w:p>
    <w:p>
      <w:pPr>
        <w:pStyle w:val="CodeChangeLine"/>
        <w:tabs>
          <w:tab w:pos="567" w:val="left"/>
          <w:tab w:pos="1134" w:val="left"/>
          <w:tab w:pos="1247" w:val="left"/>
        </w:tabs>
        <w:shd w:val="clear" w:color="auto" w:fill="ecfdf0"/>
      </w:pPr>
      <w:r>
        <w:rPr>
          <w:color w:val="BFBFBF"/>
          <w:shd w:val="clear" w:color="auto" w:fill="#ddfbe6"/>
        </w:rPr>
        <w:tab/>
        <w:t>823</w:t>
        <w:tab/>
        <w:t>+</w:t>
        <w:tab/>
      </w:r>
      <w:r>
        <w:t>- Observed concern: utilization-only decisions are insufficient without data-placement/reachability coupling.</w:t>
      </w:r>
    </w:p>
    <w:p>
      <w:pPr>
        <w:pStyle w:val="CodeChangeLine"/>
        <w:tabs>
          <w:tab w:pos="567" w:val="left"/>
          <w:tab w:pos="1134" w:val="left"/>
          <w:tab w:pos="1247" w:val="left"/>
        </w:tabs>
        <w:shd w:val="clear" w:color="auto" w:fill="ecfdf0"/>
      </w:pPr>
      <w:r>
        <w:rPr>
          <w:color w:val="BFBFBF"/>
          <w:shd w:val="clear" w:color="auto" w:fill="#ddfbe6"/>
        </w:rPr>
        <w:tab/>
        <w:t>824</w:t>
        <w:tab/>
        <w:t>+</w:t>
        <w:tab/>
      </w:r>
      <w:r>
        <w:t>- Unresolved point: scope boundary between MEC-assisted and application-self-controlled transfer behavior.</w:t>
      </w:r>
    </w:p>
    <w:p>
      <w:pPr>
        <w:pStyle w:val="CodeChangeLine"/>
        <w:tabs>
          <w:tab w:pos="567" w:val="left"/>
          <w:tab w:pos="1134" w:val="left"/>
          <w:tab w:pos="1247" w:val="left"/>
        </w:tabs>
        <w:shd w:val="clear" w:color="auto" w:fill="ecfdf0"/>
      </w:pPr>
      <w:r>
        <w:rPr>
          <w:color w:val="BFBFBF"/>
          <w:shd w:val="clear" w:color="auto" w:fill="#ddfbe6"/>
        </w:rPr>
        <w:tab/>
        <w:t>825</w:t>
        <w:tab/>
        <w:t>+</w:t>
        <w:tab/>
      </w:r>
      <w:r/>
    </w:p>
    <w:p>
      <w:pPr>
        <w:pStyle w:val="CodeChangeLine"/>
        <w:tabs>
          <w:tab w:pos="567" w:val="left"/>
          <w:tab w:pos="1134" w:val="left"/>
          <w:tab w:pos="1247" w:val="left"/>
        </w:tabs>
        <w:shd w:val="clear" w:color="auto" w:fill="ecfdf0"/>
      </w:pPr>
      <w:r>
        <w:rPr>
          <w:color w:val="BFBFBF"/>
          <w:shd w:val="clear" w:color="auto" w:fill="#ddfbe6"/>
        </w:rPr>
        <w:tab/>
        <w:t>826</w:t>
        <w:tab/>
        <w:t>+</w:t>
        <w:tab/>
      </w:r>
      <w:r/>
    </w:p>
    <w:p>
      <w:pPr>
        <w:pStyle w:val="CodeChangeLine"/>
        <w:tabs>
          <w:tab w:pos="567" w:val="left"/>
          <w:tab w:pos="1134" w:val="left"/>
          <w:tab w:pos="1247" w:val="left"/>
        </w:tabs>
        <w:shd w:val="clear" w:color="auto" w:fill="ecfdf0"/>
      </w:pPr>
      <w:r>
        <w:rPr>
          <w:color w:val="BFBFBF"/>
          <w:shd w:val="clear" w:color="auto" w:fill="#ddfbe6"/>
        </w:rPr>
        <w:tab/>
        <w:t>827</w:t>
        <w:tab/>
        <w:t>+</w:t>
        <w:tab/>
      </w:r>
      <w:r/>
    </w:p>
    <w:p>
      <w:pPr>
        <w:pStyle w:val="CodeChangeLine"/>
        <w:tabs>
          <w:tab w:pos="567" w:val="left"/>
          <w:tab w:pos="1134" w:val="left"/>
          <w:tab w:pos="1247" w:val="left"/>
        </w:tabs>
        <w:shd w:val="clear" w:color="auto" w:fill="ecfdf0"/>
      </w:pPr>
      <w:r>
        <w:rPr>
          <w:color w:val="BFBFBF"/>
          <w:shd w:val="clear" w:color="auto" w:fill="#ddfbe6"/>
        </w:rPr>
        <w:tab/>
        <w:t>828</w:t>
        <w:tab/>
        <w:t>+</w:t>
        <w:tab/>
      </w:r>
      <w:r>
        <w:t>**Possible Extensions to Related oneM2M/MEC Elements**</w:t>
      </w:r>
    </w:p>
    <w:p>
      <w:pPr>
        <w:pStyle w:val="CodeChangeLine"/>
        <w:tabs>
          <w:tab w:pos="567" w:val="left"/>
          <w:tab w:pos="1134" w:val="left"/>
          <w:tab w:pos="1247" w:val="left"/>
        </w:tabs>
        <w:shd w:val="clear" w:color="auto" w:fill="ecfdf0"/>
      </w:pPr>
      <w:r>
        <w:rPr>
          <w:color w:val="BFBFBF"/>
          <w:shd w:val="clear" w:color="auto" w:fill="#ddfbe6"/>
        </w:rPr>
        <w:tab/>
        <w:t>829</w:t>
        <w:tab/>
        <w:t>+</w:t>
        <w:tab/>
      </w:r>
      <w:r/>
    </w:p>
    <w:p>
      <w:pPr>
        <w:pStyle w:val="CodeChangeLine"/>
        <w:tabs>
          <w:tab w:pos="567" w:val="left"/>
          <w:tab w:pos="1134" w:val="left"/>
          <w:tab w:pos="1247" w:val="left"/>
        </w:tabs>
        <w:shd w:val="clear" w:color="auto" w:fill="ecfdf0"/>
      </w:pPr>
      <w:r>
        <w:rPr>
          <w:color w:val="BFBFBF"/>
          <w:shd w:val="clear" w:color="auto" w:fill="#ddfbe6"/>
        </w:rPr>
        <w:tab/>
        <w:t>830</w:t>
        <w:tab/>
        <w:t>+</w:t>
        <w:tab/>
      </w:r>
      <w:r>
        <w:t>- MEC platform metrics service (new or extended) to expose normalized utilization indicators (CPU, memory, radio load, throughput, latency) queryable and subscribable by oneM2M orchestration functions.</w:t>
      </w:r>
    </w:p>
    <w:p>
      <w:pPr>
        <w:pStyle w:val="CodeChangeLine"/>
        <w:tabs>
          <w:tab w:pos="567" w:val="left"/>
          <w:tab w:pos="1134" w:val="left"/>
          <w:tab w:pos="1247" w:val="left"/>
        </w:tabs>
        <w:shd w:val="clear" w:color="auto" w:fill="ecfdf0"/>
      </w:pPr>
      <w:r>
        <w:rPr>
          <w:color w:val="BFBFBF"/>
          <w:shd w:val="clear" w:color="auto" w:fill="#ddfbe6"/>
        </w:rPr>
        <w:tab/>
        <w:t>831</w:t>
        <w:tab/>
        <w:t>+</w:t>
        <w:tab/>
      </w:r>
      <w:r>
        <w:t>- MEC metrics subscription extension so that oneM2M AEs or IN-CSE orchestration AEs can register for threshold-crossing notifications relevant to handover triggers.</w:t>
      </w:r>
    </w:p>
    <w:p>
      <w:pPr>
        <w:pStyle w:val="CodeChangeLine"/>
        <w:tabs>
          <w:tab w:pos="567" w:val="left"/>
          <w:tab w:pos="1134" w:val="left"/>
          <w:tab w:pos="1247" w:val="left"/>
        </w:tabs>
        <w:shd w:val="clear" w:color="auto" w:fill="ecfdf0"/>
      </w:pPr>
      <w:r>
        <w:rPr>
          <w:color w:val="BFBFBF"/>
          <w:shd w:val="clear" w:color="auto" w:fill="#ddfbe6"/>
        </w:rPr>
        <w:tab/>
        <w:t>832</w:t>
        <w:tab/>
        <w:t>+</w:t>
        <w:tab/>
      </w:r>
      <w:r>
        <w:t>- oneM2M `flexContainer` or `mgmtObj` schema to represent and cache MEC platform utilization metrics as a oneM2M resource, enabling policy evaluation against CMDH thresholds.</w:t>
      </w:r>
    </w:p>
    <w:p>
      <w:pPr>
        <w:pStyle w:val="CodeChangeLine"/>
        <w:tabs>
          <w:tab w:pos="567" w:val="left"/>
          <w:tab w:pos="1134" w:val="left"/>
          <w:tab w:pos="1247" w:val="left"/>
        </w:tabs>
        <w:shd w:val="clear" w:color="auto" w:fill="ecfdf0"/>
      </w:pPr>
      <w:r>
        <w:rPr>
          <w:color w:val="BFBFBF"/>
          <w:shd w:val="clear" w:color="auto" w:fill="#ddfbe6"/>
        </w:rPr>
        <w:tab/>
        <w:t>833</w:t>
        <w:tab/>
        <w:t>+</w:t>
        <w:tab/>
      </w:r>
      <w:r>
        <w:t>- oneM2M handover policy extension to define normative utilization-based trigger conditions for initiating, deferring, or blocking a handover decision.</w:t>
      </w:r>
    </w:p>
    <w:p>
      <w:pPr>
        <w:pStyle w:val="CodeChangeLine"/>
        <w:tabs>
          <w:tab w:pos="567" w:val="left"/>
          <w:tab w:pos="1134" w:val="left"/>
          <w:tab w:pos="1247" w:val="left"/>
        </w:tabs>
        <w:shd w:val="clear" w:color="auto" w:fill="ecfdf0"/>
      </w:pPr>
      <w:r>
        <w:rPr>
          <w:color w:val="BFBFBF"/>
          <w:shd w:val="clear" w:color="auto" w:fill="#ddfbe6"/>
        </w:rPr>
        <w:tab/>
        <w:t>834</w:t>
        <w:tab/>
        <w:t>+</w:t>
        <w:tab/>
      </w:r>
      <w:r>
        <w:t>- oneM2M data-placement awareness model to correlate AE migration feasibility with MN-CSE data reachability and MEC host co-location constraints.</w:t>
      </w:r>
    </w:p>
    <w:p>
      <w:pPr>
        <w:pStyle w:val="CodeChangeLine"/>
        <w:tabs>
          <w:tab w:pos="567" w:val="left"/>
          <w:tab w:pos="1134" w:val="left"/>
          <w:tab w:pos="1247" w:val="left"/>
        </w:tabs>
        <w:shd w:val="clear" w:color="auto" w:fill="ecfdf0"/>
      </w:pPr>
      <w:r>
        <w:rPr>
          <w:color w:val="BFBFBF"/>
          <w:shd w:val="clear" w:color="auto" w:fill="#ddfbe6"/>
        </w:rPr>
        <w:tab/>
        <w:t>835</w:t>
        <w:tab/>
        <w:t>+</w:t>
        <w:tab/>
      </w:r>
      <w:r>
        <w:t>- MEC-to-oneM2M interworking extension to propagate platform utilization state as a candidate-ranking attribute during handover target selection (complement to 7.2.2.7).</w:t>
      </w:r>
    </w:p>
    <w:p>
      <w:pPr>
        <w:pStyle w:val="CodeChangeLine"/>
        <w:tabs>
          <w:tab w:pos="567" w:val="left"/>
          <w:tab w:pos="1134" w:val="left"/>
          <w:tab w:pos="1247" w:val="left"/>
        </w:tabs>
        <w:shd w:val="clear" w:color="auto" w:fill="ecfdf0"/>
      </w:pPr>
      <w:r>
        <w:rPr>
          <w:color w:val="BFBFBF"/>
          <w:shd w:val="clear" w:color="auto" w:fill="#ddfbe6"/>
        </w:rPr>
        <w:tab/>
        <w:t>836</w:t>
        <w:tab/>
        <w:t>+</w:t>
        <w:tab/>
      </w:r>
      <w:r>
        <w:t>- Scope extension to cover non-handover use cases (e.g. Federated Learning client selection and Swarm Computing task assignment) driven by the same MEC platform utilization metrics.</w:t>
      </w:r>
    </w:p>
    <w:p>
      <w:pPr>
        <w:pStyle w:val="CodeChangeLine"/>
        <w:tabs>
          <w:tab w:pos="567" w:val="left"/>
          <w:tab w:pos="1134" w:val="left"/>
          <w:tab w:pos="1247" w:val="left"/>
        </w:tabs>
        <w:shd w:val="clear" w:color="auto" w:fill="ecfdf0"/>
      </w:pPr>
      <w:r>
        <w:rPr>
          <w:color w:val="BFBFBF"/>
          <w:shd w:val="clear" w:color="auto" w:fill="#ddfbe6"/>
        </w:rPr>
        <w:tab/>
        <w:t>837</w:t>
        <w:tab/>
        <w:t>+</w:t>
        <w:tab/>
      </w:r>
      <w:r/>
    </w:p>
    <w:p>
      <w:pPr>
        <w:pStyle w:val="CodeChangeLine"/>
        <w:tabs>
          <w:tab w:pos="567" w:val="left"/>
          <w:tab w:pos="1134" w:val="left"/>
          <w:tab w:pos="1247" w:val="left"/>
        </w:tabs>
        <w:shd w:val="clear" w:color="auto" w:fill="ecfdf0"/>
      </w:pPr>
      <w:r>
        <w:rPr>
          <w:color w:val="BFBFBF"/>
          <w:shd w:val="clear" w:color="auto" w:fill="#ddfbe6"/>
        </w:rPr>
        <w:tab/>
        <w:t>838</w:t>
        <w:tab/>
        <w:t>+</w:t>
        <w:tab/>
      </w:r>
      <w:r>
        <w:t xml:space="preserve">#### 7.2.2.10 Lack of MEC Platform APPs Provisioning, Orchestration and Discovery </w:t>
      </w:r>
    </w:p>
    <w:p>
      <w:pPr>
        <w:pStyle w:val="CodeChangeLine"/>
        <w:tabs>
          <w:tab w:pos="567" w:val="left"/>
          <w:tab w:pos="1134" w:val="left"/>
          <w:tab w:pos="1247" w:val="left"/>
        </w:tabs>
        <w:shd w:val="clear" w:color="auto" w:fill="ecfdf0"/>
      </w:pPr>
      <w:r>
        <w:rPr>
          <w:color w:val="BFBFBF"/>
          <w:shd w:val="clear" w:color="auto" w:fill="#ddfbe6"/>
        </w:rPr>
        <w:tab/>
        <w:t>839</w:t>
        <w:tab/>
        <w:t>+</w:t>
        <w:tab/>
      </w:r>
      <w:r>
        <w:t>Gap boundary: This subclause focuses on discovery/provisioning visibility for MEC applications relevant to oneM2M handover decisions; policy authority alignment is addressed in 7.2.2.11.</w:t>
      </w:r>
    </w:p>
    <w:p>
      <w:pPr>
        <w:pStyle w:val="CodeChangeLine"/>
        <w:tabs>
          <w:tab w:pos="567" w:val="left"/>
          <w:tab w:pos="1134" w:val="left"/>
          <w:tab w:pos="1247" w:val="left"/>
        </w:tabs>
        <w:shd w:val="clear" w:color="auto" w:fill="ecfdf0"/>
      </w:pPr>
      <w:r>
        <w:rPr>
          <w:color w:val="BFBFBF"/>
          <w:shd w:val="clear" w:color="auto" w:fill="#ddfbe6"/>
        </w:rPr>
        <w:tab/>
        <w:t>840</w:t>
        <w:tab/>
        <w:t>+</w:t>
        <w:tab/>
      </w:r>
      <w:r/>
    </w:p>
    <w:p>
      <w:pPr>
        <w:pStyle w:val="CodeChangeLine"/>
        <w:tabs>
          <w:tab w:pos="567" w:val="left"/>
          <w:tab w:pos="1134" w:val="left"/>
          <w:tab w:pos="1247" w:val="left"/>
        </w:tabs>
        <w:shd w:val="clear" w:color="auto" w:fill="ecfdf0"/>
      </w:pPr>
      <w:r>
        <w:rPr>
          <w:color w:val="BFBFBF"/>
          <w:shd w:val="clear" w:color="auto" w:fill="#ddfbe6"/>
        </w:rPr>
        <w:tab/>
        <w:t>841</w:t>
        <w:tab/>
        <w:t>+</w:t>
        <w:tab/>
      </w:r>
      <w:r>
        <w:t>Current specifications do not define a clear model for oneM2M discovery of MEC applications (including non-service-producing applications) and their handover-relevant capabilities. This creates ambiguity for scenarios such as swarm and federated learning clients where application capabilities can influence handover decisions.</w:t>
      </w:r>
    </w:p>
    <w:p>
      <w:pPr>
        <w:pStyle w:val="CodeChangeLine"/>
        <w:tabs>
          <w:tab w:pos="567" w:val="left"/>
          <w:tab w:pos="1134" w:val="left"/>
          <w:tab w:pos="1247" w:val="left"/>
        </w:tabs>
        <w:shd w:val="clear" w:color="auto" w:fill="ecfdf0"/>
      </w:pPr>
      <w:r>
        <w:rPr>
          <w:color w:val="BFBFBF"/>
          <w:shd w:val="clear" w:color="auto" w:fill="#ddfbe6"/>
        </w:rPr>
        <w:tab/>
        <w:t>842</w:t>
        <w:tab/>
        <w:t>+</w:t>
        <w:tab/>
      </w:r>
      <w:r/>
    </w:p>
    <w:p>
      <w:pPr>
        <w:pStyle w:val="CodeChangeLine"/>
        <w:tabs>
          <w:tab w:pos="567" w:val="left"/>
          <w:tab w:pos="1134" w:val="left"/>
          <w:tab w:pos="1247" w:val="left"/>
        </w:tabs>
        <w:shd w:val="clear" w:color="auto" w:fill="ecfdf0"/>
      </w:pPr>
      <w:r>
        <w:rPr>
          <w:color w:val="BFBFBF"/>
          <w:shd w:val="clear" w:color="auto" w:fill="#ddfbe6"/>
        </w:rPr>
        <w:tab/>
        <w:t>843</w:t>
        <w:tab/>
        <w:t>+</w:t>
        <w:tab/>
      </w:r>
      <w:r>
        <w:t>Current specifications also do not clearly define how oneM2M orchestration functions (e.g., IN-CSE orchestration logic) request or verify provisioning/orchestration alignment when oneM2M AEs are hosted as MEC applications.</w:t>
      </w:r>
    </w:p>
    <w:p>
      <w:pPr>
        <w:pStyle w:val="CodeChangeLine"/>
        <w:tabs>
          <w:tab w:pos="567" w:val="left"/>
          <w:tab w:pos="1134" w:val="left"/>
          <w:tab w:pos="1247" w:val="left"/>
        </w:tabs>
        <w:shd w:val="clear" w:color="auto" w:fill="ecfdf0"/>
      </w:pPr>
      <w:r>
        <w:rPr>
          <w:color w:val="BFBFBF"/>
          <w:shd w:val="clear" w:color="auto" w:fill="#ddfbe6"/>
        </w:rPr>
        <w:tab/>
        <w:t>844</w:t>
        <w:tab/>
        <w:t>+</w:t>
        <w:tab/>
      </w:r>
      <w:r>
        <w:t>&lt;mark&gt;[ISG MEC]:</w:t>
      </w:r>
    </w:p>
    <w:p>
      <w:pPr>
        <w:pStyle w:val="CodeChangeLine"/>
        <w:tabs>
          <w:tab w:pos="567" w:val="left"/>
          <w:tab w:pos="1134" w:val="left"/>
          <w:tab w:pos="1247" w:val="left"/>
        </w:tabs>
        <w:shd w:val="clear" w:color="auto" w:fill="ecfdf0"/>
      </w:pPr>
      <w:r>
        <w:rPr>
          <w:color w:val="BFBFBF"/>
          <w:shd w:val="clear" w:color="auto" w:fill="#ddfbe6"/>
        </w:rPr>
        <w:tab/>
        <w:t>845</w:t>
        <w:tab/>
        <w:t>+</w:t>
        <w:tab/>
      </w:r>
      <w:r>
        <w:t>A lot of questions regarding the exact requirements and some detailed use cases were raised here.</w:t>
      </w:r>
    </w:p>
    <w:p>
      <w:pPr>
        <w:pStyle w:val="CodeChangeLine"/>
        <w:tabs>
          <w:tab w:pos="567" w:val="left"/>
          <w:tab w:pos="1134" w:val="left"/>
          <w:tab w:pos="1247" w:val="left"/>
        </w:tabs>
        <w:shd w:val="clear" w:color="auto" w:fill="ecfdf0"/>
      </w:pPr>
      <w:r>
        <w:rPr>
          <w:color w:val="BFBFBF"/>
          <w:shd w:val="clear" w:color="auto" w:fill="#ddfbe6"/>
        </w:rPr>
        <w:tab/>
        <w:t>846</w:t>
        <w:tab/>
        <w:t>+</w:t>
        <w:tab/>
      </w:r>
      <w:r>
        <w:t>Due to the limited time during the MEC meeting, Dario proposed to organize a meeting all together to discuss these topics.</w:t>
      </w:r>
    </w:p>
    <w:p>
      <w:pPr>
        <w:pStyle w:val="CodeChangeLine"/>
        <w:tabs>
          <w:tab w:pos="567" w:val="left"/>
          <w:tab w:pos="1134" w:val="left"/>
          <w:tab w:pos="1247" w:val="left"/>
        </w:tabs>
        <w:shd w:val="clear" w:color="auto" w:fill="ecfdf0"/>
      </w:pPr>
      <w:r>
        <w:rPr>
          <w:color w:val="BFBFBF"/>
          <w:shd w:val="clear" w:color="auto" w:fill="#ddfbe6"/>
        </w:rPr>
        <w:tab/>
        <w:t>847</w:t>
        <w:tab/>
        <w:t>+</w:t>
        <w:tab/>
      </w:r>
      <w:r>
        <w:t>&lt;/mark&gt;</w:t>
      </w:r>
    </w:p>
    <w:p>
      <w:pPr>
        <w:pStyle w:val="CodeChangeLine"/>
        <w:tabs>
          <w:tab w:pos="567" w:val="left"/>
          <w:tab w:pos="1134" w:val="left"/>
          <w:tab w:pos="1247" w:val="left"/>
        </w:tabs>
        <w:shd w:val="clear" w:color="auto" w:fill="ecfdf0"/>
      </w:pPr>
      <w:r>
        <w:rPr>
          <w:color w:val="BFBFBF"/>
          <w:shd w:val="clear" w:color="auto" w:fill="#ddfbe6"/>
        </w:rPr>
        <w:tab/>
        <w:t>848</w:t>
        <w:tab/>
        <w:t>+</w:t>
        <w:tab/>
      </w:r>
      <w:r/>
    </w:p>
    <w:p>
      <w:pPr>
        <w:pStyle w:val="CodeChangeLine"/>
        <w:tabs>
          <w:tab w:pos="567" w:val="left"/>
          <w:tab w:pos="1134" w:val="left"/>
          <w:tab w:pos="1247" w:val="left"/>
        </w:tabs>
        <w:shd w:val="clear" w:color="auto" w:fill="ecfdf0"/>
      </w:pPr>
      <w:r>
        <w:rPr>
          <w:color w:val="BFBFBF"/>
          <w:shd w:val="clear" w:color="auto" w:fill="#ddfbe6"/>
        </w:rPr>
        <w:tab/>
        <w:t>849</w:t>
        <w:tab/>
        <w:t>+</w:t>
        <w:tab/>
      </w:r>
      <w:r>
        <w:t>Open issue OI-7.2-04 (from ISG MEC discussions):</w:t>
      </w:r>
    </w:p>
    <w:p>
      <w:pPr>
        <w:pStyle w:val="CodeChangeLine"/>
        <w:tabs>
          <w:tab w:pos="567" w:val="left"/>
          <w:tab w:pos="1134" w:val="left"/>
          <w:tab w:pos="1247" w:val="left"/>
        </w:tabs>
        <w:shd w:val="clear" w:color="auto" w:fill="ecfdf0"/>
      </w:pPr>
      <w:r>
        <w:rPr>
          <w:color w:val="BFBFBF"/>
          <w:shd w:val="clear" w:color="auto" w:fill="#ddfbe6"/>
        </w:rPr>
        <w:tab/>
        <w:t>850</w:t>
        <w:tab/>
        <w:t>+</w:t>
        <w:tab/>
      </w:r>
      <w:r/>
    </w:p>
    <w:p>
      <w:pPr>
        <w:pStyle w:val="CodeChangeLine"/>
        <w:tabs>
          <w:tab w:pos="567" w:val="left"/>
          <w:tab w:pos="1134" w:val="left"/>
          <w:tab w:pos="1247" w:val="left"/>
        </w:tabs>
        <w:shd w:val="clear" w:color="auto" w:fill="ecfdf0"/>
      </w:pPr>
      <w:r>
        <w:rPr>
          <w:color w:val="BFBFBF"/>
          <w:shd w:val="clear" w:color="auto" w:fill="#ddfbe6"/>
        </w:rPr>
        <w:tab/>
        <w:t>851</w:t>
        <w:tab/>
        <w:t>+</w:t>
        <w:tab/>
      </w:r>
      <w:r>
        <w:t>- Decision needed: minimum discovery and provisioning semantics required for handover-relevant MEC application visibility to oneM2M.</w:t>
      </w:r>
    </w:p>
    <w:p>
      <w:pPr>
        <w:pStyle w:val="CodeChangeLine"/>
        <w:tabs>
          <w:tab w:pos="567" w:val="left"/>
          <w:tab w:pos="1134" w:val="left"/>
          <w:tab w:pos="1247" w:val="left"/>
        </w:tabs>
        <w:shd w:val="clear" w:color="auto" w:fill="ecfdf0"/>
      </w:pPr>
      <w:r>
        <w:rPr>
          <w:color w:val="BFBFBF"/>
          <w:shd w:val="clear" w:color="auto" w:fill="#ddfbe6"/>
        </w:rPr>
        <w:tab/>
        <w:t>852</w:t>
        <w:tab/>
        <w:t>+</w:t>
        <w:tab/>
      </w:r>
      <w:r>
        <w:t>- Observed concern: use-case granularity is currently insufficient for converged behavior.</w:t>
      </w:r>
    </w:p>
    <w:p>
      <w:pPr>
        <w:pStyle w:val="CodeChangeLine"/>
        <w:tabs>
          <w:tab w:pos="567" w:val="left"/>
          <w:tab w:pos="1134" w:val="left"/>
          <w:tab w:pos="1247" w:val="left"/>
        </w:tabs>
        <w:shd w:val="clear" w:color="auto" w:fill="ecfdf0"/>
      </w:pPr>
      <w:r>
        <w:rPr>
          <w:color w:val="BFBFBF"/>
          <w:shd w:val="clear" w:color="auto" w:fill="#ddfbe6"/>
        </w:rPr>
        <w:tab/>
        <w:t>853</w:t>
        <w:tab/>
        <w:t>+</w:t>
        <w:tab/>
      </w:r>
      <w:r>
        <w:t>- Unresolved point: required integration depth between oneM2M orchestration intent and MEC application lifecycle operations.</w:t>
      </w:r>
    </w:p>
    <w:p>
      <w:pPr>
        <w:pStyle w:val="CodeChangeLine"/>
        <w:tabs>
          <w:tab w:pos="567" w:val="left"/>
          <w:tab w:pos="1134" w:val="left"/>
          <w:tab w:pos="1247" w:val="left"/>
        </w:tabs>
        <w:shd w:val="clear" w:color="auto" w:fill="ecfdf0"/>
      </w:pPr>
      <w:r>
        <w:rPr>
          <w:color w:val="BFBFBF"/>
          <w:shd w:val="clear" w:color="auto" w:fill="#ddfbe6"/>
        </w:rPr>
        <w:tab/>
        <w:t>854</w:t>
        <w:tab/>
        <w:t>+</w:t>
        <w:tab/>
      </w:r>
      <w:r/>
    </w:p>
    <w:p>
      <w:pPr>
        <w:pStyle w:val="CodeChangeLine"/>
        <w:tabs>
          <w:tab w:pos="567" w:val="left"/>
          <w:tab w:pos="1134" w:val="left"/>
          <w:tab w:pos="1247" w:val="left"/>
        </w:tabs>
        <w:shd w:val="clear" w:color="auto" w:fill="ecfdf0"/>
      </w:pPr>
      <w:r>
        <w:rPr>
          <w:color w:val="BFBFBF"/>
          <w:shd w:val="clear" w:color="auto" w:fill="#ddfbe6"/>
        </w:rPr>
        <w:tab/>
        <w:t>855</w:t>
        <w:tab/>
        <w:t>+</w:t>
        <w:tab/>
      </w:r>
      <w:r/>
    </w:p>
    <w:p>
      <w:pPr>
        <w:pStyle w:val="CodeChangeLine"/>
        <w:tabs>
          <w:tab w:pos="567" w:val="left"/>
          <w:tab w:pos="1134" w:val="left"/>
          <w:tab w:pos="1247" w:val="left"/>
        </w:tabs>
        <w:shd w:val="clear" w:color="auto" w:fill="ecfdf0"/>
      </w:pPr>
      <w:r>
        <w:rPr>
          <w:color w:val="BFBFBF"/>
          <w:shd w:val="clear" w:color="auto" w:fill="#ddfbe6"/>
        </w:rPr>
        <w:tab/>
        <w:t>856</w:t>
        <w:tab/>
        <w:t>+</w:t>
        <w:tab/>
      </w:r>
      <w:r>
        <w:t xml:space="preserve">#### 7.2.2.11 Lack of policy control and coordindation for MEC platforms </w:t>
      </w:r>
    </w:p>
    <w:p>
      <w:pPr>
        <w:pStyle w:val="CodeChangeLine"/>
        <w:tabs>
          <w:tab w:pos="567" w:val="left"/>
          <w:tab w:pos="1134" w:val="left"/>
          <w:tab w:pos="1247" w:val="left"/>
        </w:tabs>
        <w:shd w:val="clear" w:color="auto" w:fill="ecfdf0"/>
      </w:pPr>
      <w:r>
        <w:rPr>
          <w:color w:val="BFBFBF"/>
          <w:shd w:val="clear" w:color="auto" w:fill="#ddfbe6"/>
        </w:rPr>
        <w:tab/>
        <w:t>857</w:t>
        <w:tab/>
        <w:t>+</w:t>
        <w:tab/>
      </w:r>
      <w:r>
        <w:t>Gap boundary: This subclause focuses on policy authority, policy visibility, and conflict handling between oneM2M CMDH and MEC policy domains.</w:t>
      </w:r>
    </w:p>
    <w:p>
      <w:pPr>
        <w:pStyle w:val="CodeChangeLine"/>
        <w:tabs>
          <w:tab w:pos="567" w:val="left"/>
          <w:tab w:pos="1134" w:val="left"/>
          <w:tab w:pos="1247" w:val="left"/>
        </w:tabs>
        <w:shd w:val="clear" w:color="auto" w:fill="ecfdf0"/>
      </w:pPr>
      <w:r>
        <w:rPr>
          <w:color w:val="BFBFBF"/>
          <w:shd w:val="clear" w:color="auto" w:fill="#ddfbe6"/>
        </w:rPr>
        <w:tab/>
        <w:t>858</w:t>
        <w:tab/>
        <w:t>+</w:t>
        <w:tab/>
      </w:r>
      <w:r/>
    </w:p>
    <w:p>
      <w:pPr>
        <w:pStyle w:val="CodeChangeLine"/>
        <w:tabs>
          <w:tab w:pos="567" w:val="left"/>
          <w:tab w:pos="1134" w:val="left"/>
          <w:tab w:pos="1247" w:val="left"/>
        </w:tabs>
        <w:shd w:val="clear" w:color="auto" w:fill="ecfdf0"/>
      </w:pPr>
      <w:r>
        <w:rPr>
          <w:color w:val="BFBFBF"/>
          <w:shd w:val="clear" w:color="auto" w:fill="#ddfbe6"/>
        </w:rPr>
        <w:tab/>
        <w:t>859</w:t>
        <w:tab/>
        <w:t>+</w:t>
        <w:tab/>
      </w:r>
      <w:r>
        <w:t>Current specifications do not define a normative coordination model that explains how oneM2M CMDH policy intent and MEC policy authority interact for handover decisions. This creates ambiguity when both systems constrain target selection or relocation behavior.</w:t>
      </w:r>
    </w:p>
    <w:p>
      <w:pPr>
        <w:pStyle w:val="CodeChangeLine"/>
        <w:tabs>
          <w:tab w:pos="567" w:val="left"/>
          <w:tab w:pos="1134" w:val="left"/>
          <w:tab w:pos="1247" w:val="left"/>
        </w:tabs>
        <w:shd w:val="clear" w:color="auto" w:fill="ecfdf0"/>
      </w:pPr>
      <w:r>
        <w:rPr>
          <w:color w:val="BFBFBF"/>
          <w:shd w:val="clear" w:color="auto" w:fill="#ddfbe6"/>
        </w:rPr>
        <w:tab/>
        <w:t>860</w:t>
        <w:tab/>
        <w:t>+</w:t>
        <w:tab/>
      </w:r>
      <w:r/>
    </w:p>
    <w:p>
      <w:pPr>
        <w:pStyle w:val="CodeChangeLine"/>
        <w:tabs>
          <w:tab w:pos="567" w:val="left"/>
          <w:tab w:pos="1134" w:val="left"/>
          <w:tab w:pos="1247" w:val="left"/>
        </w:tabs>
        <w:shd w:val="clear" w:color="auto" w:fill="ecfdf0"/>
      </w:pPr>
      <w:r>
        <w:rPr>
          <w:color w:val="BFBFBF"/>
          <w:shd w:val="clear" w:color="auto" w:fill="#ddfbe6"/>
        </w:rPr>
        <w:tab/>
        <w:t>861</w:t>
        <w:tab/>
        <w:t>+</w:t>
        <w:tab/>
      </w:r>
      <w:r>
        <w:t xml:space="preserve">Current specifications also do not define a conflict-handling model for policy mismatches (e.g., CMDH intent versus MEC platform policy constraints), which can lead to inconsistent enforcement outcomes across deployments. </w:t>
      </w:r>
    </w:p>
    <w:p>
      <w:pPr>
        <w:pStyle w:val="CodeChangeLine"/>
        <w:tabs>
          <w:tab w:pos="567" w:val="left"/>
          <w:tab w:pos="1134" w:val="left"/>
          <w:tab w:pos="1247" w:val="left"/>
        </w:tabs>
        <w:shd w:val="clear" w:color="auto" w:fill="ecfdf0"/>
      </w:pPr>
      <w:r>
        <w:rPr>
          <w:color w:val="BFBFBF"/>
          <w:shd w:val="clear" w:color="auto" w:fill="#ddfbe6"/>
        </w:rPr>
        <w:tab/>
        <w:t>862</w:t>
        <w:tab/>
        <w:t>+</w:t>
        <w:tab/>
      </w:r>
      <w:r/>
    </w:p>
    <w:p>
      <w:pPr>
        <w:pStyle w:val="CodeChangeLine"/>
        <w:tabs>
          <w:tab w:pos="567" w:val="left"/>
          <w:tab w:pos="1134" w:val="left"/>
          <w:tab w:pos="1247" w:val="left"/>
        </w:tabs>
        <w:shd w:val="clear" w:color="auto" w:fill="ecfdf0"/>
      </w:pPr>
      <w:r>
        <w:rPr>
          <w:color w:val="BFBFBF"/>
          <w:shd w:val="clear" w:color="auto" w:fill="#ddfbe6"/>
        </w:rPr>
        <w:tab/>
        <w:t>863</w:t>
        <w:tab/>
        <w:t>+</w:t>
        <w:tab/>
      </w:r>
      <w:r>
        <w:t xml:space="preserve">&lt;mark&gt;[ISG MEC]: </w:t>
      </w:r>
    </w:p>
    <w:p>
      <w:pPr>
        <w:pStyle w:val="CodeChangeLine"/>
        <w:tabs>
          <w:tab w:pos="567" w:val="left"/>
          <w:tab w:pos="1134" w:val="left"/>
          <w:tab w:pos="1247" w:val="left"/>
        </w:tabs>
        <w:shd w:val="clear" w:color="auto" w:fill="ecfdf0"/>
      </w:pPr>
      <w:r>
        <w:rPr>
          <w:color w:val="BFBFBF"/>
          <w:shd w:val="clear" w:color="auto" w:fill="#ddfbe6"/>
        </w:rPr>
        <w:tab/>
        <w:t>864</w:t>
        <w:tab/>
        <w:t>+</w:t>
        <w:tab/>
      </w:r>
      <w:r>
        <w:t>This topics also raised a lot of discussion during the ISG MEC meetings. But the discussion was oriented on what are exactly the policies that are relevant to oneM2M.</w:t>
      </w:r>
    </w:p>
    <w:p>
      <w:pPr>
        <w:pStyle w:val="CodeChangeLine"/>
        <w:tabs>
          <w:tab w:pos="567" w:val="left"/>
          <w:tab w:pos="1134" w:val="left"/>
          <w:tab w:pos="1247" w:val="left"/>
        </w:tabs>
        <w:shd w:val="clear" w:color="auto" w:fill="ecfdf0"/>
      </w:pPr>
      <w:r>
        <w:rPr>
          <w:color w:val="BFBFBF"/>
          <w:shd w:val="clear" w:color="auto" w:fill="#ddfbe6"/>
        </w:rPr>
        <w:tab/>
        <w:t>865</w:t>
        <w:tab/>
        <w:t>+</w:t>
        <w:tab/>
      </w:r>
      <w:r>
        <w:t>The global view is that the policies are part of MEO. The MEO cannot be influenced by 3rd-party policies.</w:t>
      </w:r>
    </w:p>
    <w:p>
      <w:pPr>
        <w:pStyle w:val="CodeChangeLine"/>
        <w:tabs>
          <w:tab w:pos="567" w:val="left"/>
          <w:tab w:pos="1134" w:val="left"/>
          <w:tab w:pos="1247" w:val="left"/>
        </w:tabs>
        <w:shd w:val="clear" w:color="auto" w:fill="ecfdf0"/>
      </w:pPr>
      <w:r>
        <w:rPr>
          <w:color w:val="BFBFBF"/>
          <w:shd w:val="clear" w:color="auto" w:fill="#ddfbe6"/>
        </w:rPr>
        <w:tab/>
        <w:t>866</w:t>
        <w:tab/>
        <w:t>+</w:t>
        <w:tab/>
      </w:r>
      <w:r>
        <w:t>&lt;/mark&gt;</w:t>
      </w:r>
    </w:p>
    <w:p>
      <w:pPr>
        <w:pStyle w:val="CodeChangeLine"/>
        <w:tabs>
          <w:tab w:pos="567" w:val="left"/>
          <w:tab w:pos="1134" w:val="left"/>
          <w:tab w:pos="1247" w:val="left"/>
        </w:tabs>
        <w:shd w:val="clear" w:color="auto" w:fill="ecfdf0"/>
      </w:pPr>
      <w:r>
        <w:rPr>
          <w:color w:val="BFBFBF"/>
          <w:shd w:val="clear" w:color="auto" w:fill="#ddfbe6"/>
        </w:rPr>
        <w:tab/>
        <w:t>867</w:t>
        <w:tab/>
        <w:t>+</w:t>
        <w:tab/>
      </w:r>
      <w:r/>
    </w:p>
    <w:p>
      <w:pPr>
        <w:pStyle w:val="CodeChangeLine"/>
        <w:tabs>
          <w:tab w:pos="567" w:val="left"/>
          <w:tab w:pos="1134" w:val="left"/>
          <w:tab w:pos="1247" w:val="left"/>
        </w:tabs>
        <w:shd w:val="clear" w:color="auto" w:fill="ecfdf0"/>
      </w:pPr>
      <w:r>
        <w:rPr>
          <w:color w:val="BFBFBF"/>
          <w:shd w:val="clear" w:color="auto" w:fill="#ddfbe6"/>
        </w:rPr>
        <w:tab/>
        <w:t>868</w:t>
        <w:tab/>
        <w:t>+</w:t>
        <w:tab/>
      </w:r>
      <w:r>
        <w:t>Open issue OI-7.2-05 (from ISG MEC discussions):</w:t>
      </w:r>
    </w:p>
    <w:p>
      <w:pPr>
        <w:pStyle w:val="CodeChangeLine"/>
        <w:tabs>
          <w:tab w:pos="567" w:val="left"/>
          <w:tab w:pos="1134" w:val="left"/>
          <w:tab w:pos="1247" w:val="left"/>
        </w:tabs>
        <w:shd w:val="clear" w:color="auto" w:fill="ecfdf0"/>
      </w:pPr>
      <w:r>
        <w:rPr>
          <w:color w:val="BFBFBF"/>
          <w:shd w:val="clear" w:color="auto" w:fill="#ddfbe6"/>
        </w:rPr>
        <w:tab/>
        <w:t>869</w:t>
        <w:tab/>
        <w:t>+</w:t>
        <w:tab/>
      </w:r>
      <w:r/>
    </w:p>
    <w:p>
      <w:pPr>
        <w:pStyle w:val="CodeChangeLine"/>
        <w:tabs>
          <w:tab w:pos="567" w:val="left"/>
          <w:tab w:pos="1134" w:val="left"/>
          <w:tab w:pos="1247" w:val="left"/>
        </w:tabs>
        <w:shd w:val="clear" w:color="auto" w:fill="ecfdf0"/>
      </w:pPr>
      <w:r>
        <w:rPr>
          <w:color w:val="BFBFBF"/>
          <w:shd w:val="clear" w:color="auto" w:fill="#ddfbe6"/>
        </w:rPr>
        <w:tab/>
        <w:t>870</w:t>
        <w:tab/>
        <w:t>+</w:t>
        <w:tab/>
      </w:r>
      <w:r>
        <w:t>- Decision needed: which policy classes are exchangeable across oneM2M and MEC and which remain strictly domain-local.</w:t>
      </w:r>
    </w:p>
    <w:p>
      <w:pPr>
        <w:pStyle w:val="CodeChangeLine"/>
        <w:tabs>
          <w:tab w:pos="567" w:val="left"/>
          <w:tab w:pos="1134" w:val="left"/>
          <w:tab w:pos="1247" w:val="left"/>
        </w:tabs>
        <w:shd w:val="clear" w:color="auto" w:fill="ecfdf0"/>
      </w:pPr>
      <w:r>
        <w:rPr>
          <w:color w:val="BFBFBF"/>
          <w:shd w:val="clear" w:color="auto" w:fill="#ddfbe6"/>
        </w:rPr>
        <w:tab/>
        <w:t>871</w:t>
        <w:tab/>
        <w:t>+</w:t>
        <w:tab/>
      </w:r>
      <w:r>
        <w:t>- Observed concern: MEO policy authority may not accept direct third-party policy control.</w:t>
      </w:r>
    </w:p>
    <w:p>
      <w:pPr>
        <w:pStyle w:val="CodeChangeLine"/>
        <w:tabs>
          <w:tab w:pos="567" w:val="left"/>
          <w:tab w:pos="1134" w:val="left"/>
          <w:tab w:pos="1247" w:val="left"/>
        </w:tabs>
        <w:shd w:val="clear" w:color="auto" w:fill="ecfdf0"/>
      </w:pPr>
      <w:r>
        <w:rPr>
          <w:color w:val="BFBFBF"/>
          <w:shd w:val="clear" w:color="auto" w:fill="#ddfbe6"/>
        </w:rPr>
        <w:tab/>
        <w:t>872</w:t>
        <w:tab/>
        <w:t>+</w:t>
        <w:tab/>
      </w:r>
      <w:r>
        <w:t>- Unresolved point: minimum interoperability expectation for policy visibility, conflict reporting, and traceable enforcement outcomes.</w:t>
      </w:r>
    </w:p>
    <w:p>
      <w:pPr>
        <w:pStyle w:val="CodeChangeLine"/>
        <w:tabs>
          <w:tab w:pos="567" w:val="left"/>
          <w:tab w:pos="1134" w:val="left"/>
          <w:tab w:pos="1247" w:val="left"/>
        </w:tabs>
        <w:shd w:val="clear" w:color="auto" w:fill="ecfdf0"/>
      </w:pPr>
      <w:r>
        <w:rPr>
          <w:color w:val="BFBFBF"/>
          <w:shd w:val="clear" w:color="auto" w:fill="#ddfbe6"/>
        </w:rPr>
        <w:tab/>
        <w:t>873</w:t>
        <w:tab/>
        <w:t>+</w:t>
        <w:tab/>
      </w:r>
      <w:r/>
    </w:p>
    <w:p>
      <w:pPr>
        <w:pStyle w:val="CodeChangeLine"/>
        <w:tabs>
          <w:tab w:pos="567" w:val="left"/>
          <w:tab w:pos="1134" w:val="left"/>
          <w:tab w:pos="1247" w:val="left"/>
        </w:tabs>
        <w:shd w:val="clear" w:color="auto" w:fill="ecfdf0"/>
      </w:pPr>
      <w:r>
        <w:rPr>
          <w:color w:val="BFBFBF"/>
          <w:shd w:val="clear" w:color="auto" w:fill="#ddfbe6"/>
        </w:rPr>
        <w:tab/>
        <w:t>874</w:t>
        <w:tab/>
        <w:t>+</w:t>
        <w:tab/>
      </w:r>
      <w:r>
        <w:t>#### 7.2.2.12 Deficiencies in AE S-Registrations</w:t>
      </w:r>
    </w:p>
    <w:p>
      <w:pPr>
        <w:pStyle w:val="CodeChangeLine"/>
        <w:tabs>
          <w:tab w:pos="567" w:val="left"/>
          <w:tab w:pos="1134" w:val="left"/>
          <w:tab w:pos="1247" w:val="left"/>
        </w:tabs>
        <w:shd w:val="clear" w:color="auto" w:fill="ecfdf0"/>
      </w:pPr>
      <w:r>
        <w:rPr>
          <w:color w:val="BFBFBF"/>
          <w:shd w:val="clear" w:color="auto" w:fill="#ddfbe6"/>
        </w:rPr>
        <w:tab/>
        <w:t>875</w:t>
        <w:tab/>
        <w:t>+</w:t>
        <w:tab/>
      </w:r>
      <w:r/>
    </w:p>
    <w:p>
      <w:pPr>
        <w:pStyle w:val="CodeChangeLine"/>
        <w:tabs>
          <w:tab w:pos="567" w:val="left"/>
          <w:tab w:pos="1134" w:val="left"/>
          <w:tab w:pos="1247" w:val="left"/>
        </w:tabs>
        <w:shd w:val="clear" w:color="auto" w:fill="ecfdf0"/>
      </w:pPr>
      <w:r>
        <w:rPr>
          <w:color w:val="BFBFBF"/>
          <w:shd w:val="clear" w:color="auto" w:fill="#ddfbe6"/>
        </w:rPr>
        <w:tab/>
        <w:t>876</w:t>
        <w:tab/>
        <w:t>+</w:t>
        <w:tab/>
      </w:r>
      <w:r>
        <w:t>Gap boundary: This subclause focuses on TS-0001 S-registration migration semantics and complements 7.2.2.1, 7.2.2.2, and 7.2.2.5.</w:t>
      </w:r>
    </w:p>
    <w:p>
      <w:pPr>
        <w:pStyle w:val="CodeChangeLine"/>
        <w:tabs>
          <w:tab w:pos="567" w:val="left"/>
          <w:tab w:pos="1134" w:val="left"/>
          <w:tab w:pos="1247" w:val="left"/>
        </w:tabs>
        <w:shd w:val="clear" w:color="auto" w:fill="ecfdf0"/>
      </w:pPr>
      <w:r>
        <w:rPr>
          <w:color w:val="BFBFBF"/>
          <w:shd w:val="clear" w:color="auto" w:fill="#ddfbe6"/>
        </w:rPr>
        <w:tab/>
        <w:t>877</w:t>
        <w:tab/>
        <w:t>+</w:t>
        <w:tab/>
      </w:r>
      <w:r/>
    </w:p>
    <w:p>
      <w:pPr>
        <w:pStyle w:val="CodeChangeLine"/>
        <w:tabs>
          <w:tab w:pos="567" w:val="left"/>
          <w:tab w:pos="1134" w:val="left"/>
          <w:tab w:pos="1247" w:val="left"/>
        </w:tabs>
        <w:shd w:val="clear" w:color="auto" w:fill="ecfdf0"/>
      </w:pPr>
      <w:r>
        <w:rPr>
          <w:color w:val="BFBFBF"/>
          <w:shd w:val="clear" w:color="auto" w:fill="#ddfbe6"/>
        </w:rPr>
        <w:tab/>
        <w:t>878</w:t>
        <w:tab/>
        <w:t>+</w:t>
        <w:tab/>
      </w:r>
      <w:r>
        <w:t>For mobility-aware handover, TS-0001 AE S-registration procedures provide a baseline but still leave behavior open to interpretation across implementations.</w:t>
      </w:r>
    </w:p>
    <w:p>
      <w:pPr>
        <w:pStyle w:val="CodeChangeLine"/>
        <w:tabs>
          <w:tab w:pos="567" w:val="left"/>
          <w:tab w:pos="1134" w:val="left"/>
          <w:tab w:pos="1247" w:val="left"/>
        </w:tabs>
        <w:shd w:val="clear" w:color="auto" w:fill="ecfdf0"/>
      </w:pPr>
      <w:r>
        <w:rPr>
          <w:color w:val="BFBFBF"/>
          <w:shd w:val="clear" w:color="auto" w:fill="#ddfbe6"/>
        </w:rPr>
        <w:tab/>
        <w:t>879</w:t>
        <w:tab/>
        <w:t>+</w:t>
        <w:tab/>
      </w:r>
      <w:r>
        <w:t>This gap refines the broader concerns in 7.2.2.1, 7.2.2.2, and 7.2.2.5 by focusing specifically on unresolved normative S-registration migration semantics across registration-point changes.</w:t>
      </w:r>
    </w:p>
    <w:p>
      <w:pPr>
        <w:pStyle w:val="CodeChangeLine"/>
        <w:tabs>
          <w:tab w:pos="567" w:val="left"/>
          <w:tab w:pos="1134" w:val="left"/>
          <w:tab w:pos="1247" w:val="left"/>
        </w:tabs>
        <w:shd w:val="clear" w:color="auto" w:fill="ecfdf0"/>
      </w:pPr>
      <w:r>
        <w:rPr>
          <w:color w:val="BFBFBF"/>
          <w:shd w:val="clear" w:color="auto" w:fill="#ddfbe6"/>
        </w:rPr>
        <w:tab/>
        <w:t>880</w:t>
        <w:tab/>
        <w:t>+</w:t>
        <w:tab/>
      </w:r>
      <w:r/>
    </w:p>
    <w:p>
      <w:pPr>
        <w:pStyle w:val="CodeChangeLine"/>
        <w:tabs>
          <w:tab w:pos="567" w:val="left"/>
          <w:tab w:pos="1134" w:val="left"/>
          <w:tab w:pos="1247" w:val="left"/>
        </w:tabs>
        <w:shd w:val="clear" w:color="auto" w:fill="ecfdf0"/>
      </w:pPr>
      <w:r>
        <w:rPr>
          <w:color w:val="BFBFBF"/>
          <w:shd w:val="clear" w:color="auto" w:fill="#ddfbe6"/>
        </w:rPr>
        <w:tab/>
        <w:t>881</w:t>
        <w:tab/>
        <w:t>+</w:t>
        <w:tab/>
      </w:r>
      <w:r>
        <w:t>Evidence basis used in this analysis: TS-0001 AE registration and registration-point change handling were reviewed, including clause 10.2.2.2 (Create &lt;AE&gt;) and clause 10.2.16 (Procedure for Managing Change in AE Registration Point). Refer to oneM2M SDS-2026-0028.</w:t>
      </w:r>
    </w:p>
    <w:p>
      <w:pPr>
        <w:pStyle w:val="CodeChangeLine"/>
        <w:tabs>
          <w:tab w:pos="567" w:val="left"/>
          <w:tab w:pos="1134" w:val="left"/>
          <w:tab w:pos="1247" w:val="left"/>
        </w:tabs>
        <w:shd w:val="clear" w:color="auto" w:fill="ecfdf0"/>
      </w:pPr>
      <w:r>
        <w:rPr>
          <w:color w:val="BFBFBF"/>
          <w:shd w:val="clear" w:color="auto" w:fill="#ddfbe6"/>
        </w:rPr>
        <w:tab/>
        <w:t>882</w:t>
        <w:tab/>
        <w:t>+</w:t>
        <w:tab/>
      </w:r>
      <w:r/>
    </w:p>
    <w:p>
      <w:pPr>
        <w:pStyle w:val="CodeChangeLine"/>
        <w:tabs>
          <w:tab w:pos="567" w:val="left"/>
          <w:tab w:pos="1134" w:val="left"/>
          <w:tab w:pos="1247" w:val="left"/>
        </w:tabs>
        <w:shd w:val="clear" w:color="auto" w:fill="ecfdf0"/>
      </w:pPr>
      <w:r>
        <w:rPr>
          <w:color w:val="BFBFBF"/>
          <w:shd w:val="clear" w:color="auto" w:fill="#ddfbe6"/>
        </w:rPr>
        <w:tab/>
        <w:t>883</w:t>
        <w:tab/>
        <w:t>+</w:t>
        <w:tab/>
      </w:r>
      <w:r>
        <w:t>Main deficiencies are:</w:t>
      </w:r>
    </w:p>
    <w:p>
      <w:pPr>
        <w:pStyle w:val="CodeChangeLine"/>
        <w:tabs>
          <w:tab w:pos="567" w:val="left"/>
          <w:tab w:pos="1134" w:val="left"/>
          <w:tab w:pos="1247" w:val="left"/>
        </w:tabs>
        <w:shd w:val="clear" w:color="auto" w:fill="ecfdf0"/>
      </w:pPr>
      <w:r>
        <w:rPr>
          <w:color w:val="BFBFBF"/>
          <w:shd w:val="clear" w:color="auto" w:fill="#ddfbe6"/>
        </w:rPr>
        <w:tab/>
        <w:t>884</w:t>
        <w:tab/>
        <w:t>+</w:t>
        <w:tab/>
      </w:r>
      <w:r/>
    </w:p>
    <w:p>
      <w:pPr>
        <w:pStyle w:val="CodeChangeLine"/>
        <w:tabs>
          <w:tab w:pos="567" w:val="left"/>
          <w:tab w:pos="1134" w:val="left"/>
          <w:tab w:pos="1247" w:val="left"/>
        </w:tabs>
        <w:shd w:val="clear" w:color="auto" w:fill="ecfdf0"/>
      </w:pPr>
      <w:r>
        <w:rPr>
          <w:color w:val="BFBFBF"/>
          <w:shd w:val="clear" w:color="auto" w:fill="#ddfbe6"/>
        </w:rPr>
        <w:tab/>
        <w:t>885</w:t>
        <w:tab/>
        <w:t>+</w:t>
        <w:tab/>
      </w:r>
      <w:r>
        <w:t>- Ambiguity of `&lt;AEAnnc&gt;` role for AE S-registration tracking at the IN-CSE versus normal announcement semantics.</w:t>
      </w:r>
    </w:p>
    <w:p>
      <w:pPr>
        <w:pStyle w:val="CodeChangeLine"/>
        <w:tabs>
          <w:tab w:pos="567" w:val="left"/>
          <w:tab w:pos="1134" w:val="left"/>
          <w:tab w:pos="1247" w:val="left"/>
        </w:tabs>
        <w:shd w:val="clear" w:color="auto" w:fill="ecfdf0"/>
      </w:pPr>
      <w:r>
        <w:rPr>
          <w:color w:val="BFBFBF"/>
          <w:shd w:val="clear" w:color="auto" w:fill="#ddfbe6"/>
        </w:rPr>
        <w:tab/>
        <w:t>886</w:t>
        <w:tab/>
        <w:t>+</w:t>
        <w:tab/>
      </w:r>
      <w:r>
        <w:t>- Unclear behavior when the initial Registrar CSE is already an IN-CSE and the AE later changes registration point.</w:t>
      </w:r>
    </w:p>
    <w:p>
      <w:pPr>
        <w:pStyle w:val="CodeChangeLine"/>
        <w:tabs>
          <w:tab w:pos="567" w:val="left"/>
          <w:tab w:pos="1134" w:val="left"/>
          <w:tab w:pos="1247" w:val="left"/>
        </w:tabs>
        <w:shd w:val="clear" w:color="auto" w:fill="ecfdf0"/>
      </w:pPr>
      <w:r>
        <w:rPr>
          <w:color w:val="BFBFBF"/>
          <w:shd w:val="clear" w:color="auto" w:fill="#ddfbe6"/>
        </w:rPr>
        <w:tab/>
        <w:t>887</w:t>
        <w:tab/>
        <w:t>+</w:t>
        <w:tab/>
      </w:r>
      <w:r>
        <w:t>- Insufficiently constrained migration semantics in re-registration to a new Registrar CSE (e.g., transfer scope of child resources and reference rewrite rules in the Step 007e flow).</w:t>
      </w:r>
    </w:p>
    <w:p>
      <w:pPr>
        <w:pStyle w:val="CodeChangeLine"/>
        <w:tabs>
          <w:tab w:pos="567" w:val="left"/>
          <w:tab w:pos="1134" w:val="left"/>
          <w:tab w:pos="1247" w:val="left"/>
        </w:tabs>
        <w:shd w:val="clear" w:color="auto" w:fill="ecfdf0"/>
      </w:pPr>
      <w:r>
        <w:rPr>
          <w:color w:val="BFBFBF"/>
          <w:shd w:val="clear" w:color="auto" w:fill="#ddfbe6"/>
        </w:rPr>
        <w:tab/>
        <w:t>888</w:t>
        <w:tab/>
        <w:t>+</w:t>
        <w:tab/>
      </w:r>
      <w:r>
        <w:t>- Incomplete lifecycle rules for old registration-point state (`ACTIVE` to `INACTIVE`, cleanup timing, and possible reactivation).</w:t>
      </w:r>
    </w:p>
    <w:p>
      <w:pPr>
        <w:pStyle w:val="CodeChangeLine"/>
        <w:tabs>
          <w:tab w:pos="567" w:val="left"/>
          <w:tab w:pos="1134" w:val="left"/>
          <w:tab w:pos="1247" w:val="left"/>
        </w:tabs>
        <w:shd w:val="clear" w:color="auto" w:fill="ecfdf0"/>
      </w:pPr>
      <w:r>
        <w:rPr>
          <w:color w:val="BFBFBF"/>
          <w:shd w:val="clear" w:color="auto" w:fill="#ddfbe6"/>
        </w:rPr>
        <w:tab/>
        <w:t>889</w:t>
        <w:tab/>
        <w:t>+</w:t>
        <w:tab/>
      </w:r>
      <w:r>
        <w:t>- Unclear continuity requirements for Originator and access-control policy semantics after registration-point migration.</w:t>
      </w:r>
    </w:p>
    <w:p>
      <w:pPr>
        <w:pStyle w:val="CodeChangeLine"/>
        <w:tabs>
          <w:tab w:pos="567" w:val="left"/>
          <w:tab w:pos="1134" w:val="left"/>
          <w:tab w:pos="1247" w:val="left"/>
        </w:tabs>
        <w:shd w:val="clear" w:color="auto" w:fill="ecfdf0"/>
      </w:pPr>
      <w:r>
        <w:rPr>
          <w:color w:val="BFBFBF"/>
          <w:shd w:val="clear" w:color="auto" w:fill="#ddfbe6"/>
        </w:rPr>
        <w:tab/>
        <w:t>890</w:t>
        <w:tab/>
        <w:t>+</w:t>
        <w:tab/>
      </w:r>
      <w:r>
        <w:t>- Inability to register AE S-registrations on an IN-CSE.</w:t>
      </w:r>
    </w:p>
    <w:p>
      <w:pPr>
        <w:pStyle w:val="CodeChangeLine"/>
        <w:tabs>
          <w:tab w:pos="567" w:val="left"/>
          <w:tab w:pos="1134" w:val="left"/>
          <w:tab w:pos="1247" w:val="left"/>
        </w:tabs>
        <w:shd w:val="clear" w:color="auto" w:fill="ecfdf0"/>
      </w:pPr>
      <w:r>
        <w:rPr>
          <w:color w:val="BFBFBF"/>
          <w:shd w:val="clear" w:color="auto" w:fill="#ddfbe6"/>
        </w:rPr>
        <w:tab/>
        <w:t>891</w:t>
        <w:tab/>
        <w:t>+</w:t>
        <w:tab/>
      </w:r>
      <w:r>
        <w:t>- Overlapping functionality and ambiguity between AE S-registrations and AE C-registrations.</w:t>
      </w:r>
    </w:p>
    <w:p>
      <w:pPr>
        <w:pStyle w:val="CodeChangeLine"/>
        <w:tabs>
          <w:tab w:pos="567" w:val="left"/>
          <w:tab w:pos="1134" w:val="left"/>
          <w:tab w:pos="1247" w:val="left"/>
        </w:tabs>
        <w:shd w:val="clear" w:color="auto" w:fill="ecfdf0"/>
      </w:pPr>
      <w:r>
        <w:rPr>
          <w:color w:val="BFBFBF"/>
          <w:shd w:val="clear" w:color="auto" w:fill="#ddfbe6"/>
        </w:rPr>
        <w:tab/>
        <w:t>892</w:t>
        <w:tab/>
        <w:t>+</w:t>
        <w:tab/>
      </w:r>
      <w:r/>
    </w:p>
    <w:p>
      <w:pPr>
        <w:pStyle w:val="CodeChangeLine"/>
        <w:tabs>
          <w:tab w:pos="567" w:val="left"/>
          <w:tab w:pos="1134" w:val="left"/>
          <w:tab w:pos="1247" w:val="left"/>
        </w:tabs>
        <w:shd w:val="clear" w:color="auto" w:fill="ecfdf0"/>
      </w:pPr>
      <w:r>
        <w:rPr>
          <w:color w:val="BFBFBF"/>
          <w:shd w:val="clear" w:color="auto" w:fill="#ddfbe6"/>
        </w:rPr>
        <w:tab/>
        <w:t>893</w:t>
        <w:tab/>
        <w:t>+</w:t>
        <w:tab/>
      </w:r>
      <w:r>
        <w:t>Impact on handover:</w:t>
      </w:r>
    </w:p>
    <w:p>
      <w:pPr>
        <w:pStyle w:val="CodeChangeLine"/>
        <w:tabs>
          <w:tab w:pos="567" w:val="left"/>
          <w:tab w:pos="1134" w:val="left"/>
          <w:tab w:pos="1247" w:val="left"/>
        </w:tabs>
        <w:shd w:val="clear" w:color="auto" w:fill="ecfdf0"/>
      </w:pPr>
      <w:r>
        <w:rPr>
          <w:color w:val="BFBFBF"/>
          <w:shd w:val="clear" w:color="auto" w:fill="#ddfbe6"/>
        </w:rPr>
        <w:tab/>
        <w:t>894</w:t>
        <w:tab/>
        <w:t>+</w:t>
        <w:tab/>
      </w:r>
      <w:r/>
    </w:p>
    <w:p>
      <w:pPr>
        <w:pStyle w:val="CodeChangeLine"/>
        <w:tabs>
          <w:tab w:pos="567" w:val="left"/>
          <w:tab w:pos="1134" w:val="left"/>
          <w:tab w:pos="1247" w:val="left"/>
        </w:tabs>
        <w:shd w:val="clear" w:color="auto" w:fill="ecfdf0"/>
      </w:pPr>
      <w:r>
        <w:rPr>
          <w:color w:val="BFBFBF"/>
          <w:shd w:val="clear" w:color="auto" w:fill="#ddfbe6"/>
        </w:rPr>
        <w:tab/>
        <w:t>895</w:t>
        <w:tab/>
        <w:t>+</w:t>
        <w:tab/>
      </w:r>
      <w:r>
        <w:t>- Different CSE implementations may make incompatible choices for registration tracking and reference updates.</w:t>
      </w:r>
    </w:p>
    <w:p>
      <w:pPr>
        <w:pStyle w:val="CodeChangeLine"/>
        <w:tabs>
          <w:tab w:pos="567" w:val="left"/>
          <w:tab w:pos="1134" w:val="left"/>
          <w:tab w:pos="1247" w:val="left"/>
        </w:tabs>
        <w:shd w:val="clear" w:color="auto" w:fill="ecfdf0"/>
      </w:pPr>
      <w:r>
        <w:rPr>
          <w:color w:val="BFBFBF"/>
          <w:shd w:val="clear" w:color="auto" w:fill="#ddfbe6"/>
        </w:rPr>
        <w:tab/>
        <w:t>896</w:t>
        <w:tab/>
        <w:t>+</w:t>
        <w:tab/>
      </w:r>
      <w:r>
        <w:t>- Context continuity can be degraded due to inconsistent transfer of registration-associated resources.</w:t>
      </w:r>
    </w:p>
    <w:p>
      <w:pPr>
        <w:pStyle w:val="CodeChangeLine"/>
        <w:tabs>
          <w:tab w:pos="567" w:val="left"/>
          <w:tab w:pos="1134" w:val="left"/>
          <w:tab w:pos="1247" w:val="left"/>
        </w:tabs>
        <w:shd w:val="clear" w:color="auto" w:fill="ecfdf0"/>
      </w:pPr>
      <w:r>
        <w:rPr>
          <w:color w:val="BFBFBF"/>
          <w:shd w:val="clear" w:color="auto" w:fill="#ddfbe6"/>
        </w:rPr>
        <w:tab/>
        <w:t>897</w:t>
        <w:tab/>
        <w:t>+</w:t>
        <w:tab/>
      </w:r>
      <w:r>
        <w:t>- Access-control and notification behavior can diverge after migration.</w:t>
      </w:r>
    </w:p>
    <w:p>
      <w:pPr>
        <w:pStyle w:val="CodeChangeLine"/>
        <w:tabs>
          <w:tab w:pos="567" w:val="left"/>
          <w:tab w:pos="1134" w:val="left"/>
          <w:tab w:pos="1247" w:val="left"/>
        </w:tabs>
        <w:shd w:val="clear" w:color="auto" w:fill="ecfdf0"/>
      </w:pPr>
      <w:r>
        <w:rPr>
          <w:color w:val="BFBFBF"/>
          <w:shd w:val="clear" w:color="auto" w:fill="#ddfbe6"/>
        </w:rPr>
        <w:tab/>
        <w:t>898</w:t>
        <w:tab/>
        <w:t>+</w:t>
        <w:tab/>
      </w:r>
      <w:r>
        <w:t>- Some scenarios (e.g., IN-CSE as initial Registrar) may not be supported at all due to above ambiguities.</w:t>
      </w:r>
    </w:p>
    <w:p>
      <w:pPr>
        <w:pStyle w:val="CodeChangeLine"/>
        <w:tabs>
          <w:tab w:pos="567" w:val="left"/>
          <w:tab w:pos="1134" w:val="left"/>
          <w:tab w:pos="1247" w:val="left"/>
        </w:tabs>
        <w:shd w:val="clear" w:color="auto" w:fill="ecfdf0"/>
      </w:pPr>
      <w:r>
        <w:rPr>
          <w:color w:val="BFBFBF"/>
          <w:shd w:val="clear" w:color="auto" w:fill="#ddfbe6"/>
        </w:rPr>
        <w:tab/>
        <w:t>899</w:t>
        <w:tab/>
        <w:t>+</w:t>
        <w:tab/>
      </w:r>
      <w:r/>
    </w:p>
    <w:p>
      <w:pPr>
        <w:pStyle w:val="CodeChangeLine"/>
        <w:tabs>
          <w:tab w:pos="567" w:val="left"/>
          <w:tab w:pos="1134" w:val="left"/>
          <w:tab w:pos="1247" w:val="left"/>
        </w:tabs>
        <w:shd w:val="clear" w:color="auto" w:fill="ecfdf0"/>
      </w:pPr>
      <w:r>
        <w:rPr>
          <w:color w:val="BFBFBF"/>
          <w:shd w:val="clear" w:color="auto" w:fill="#ddfbe6"/>
        </w:rPr>
        <w:tab/>
        <w:t>900</w:t>
        <w:tab/>
        <w:t>+</w:t>
        <w:tab/>
      </w:r>
      <w:r>
        <w:t>Therefore, oneM2M handover support needs explicit, mobility-focused S-registration semantics that normatively define registration-point tracking, migration transaction behavior, reference update scope, and post-migration lifecycle handling.</w:t>
      </w:r>
    </w:p>
    <w:p>
      <w:pPr>
        <w:pStyle w:val="CodeChangeLine"/>
        <w:tabs>
          <w:tab w:pos="567" w:val="left"/>
          <w:tab w:pos="1134" w:val="left"/>
          <w:tab w:pos="1247" w:val="left"/>
        </w:tabs>
        <w:shd w:val="clear" w:color="auto" w:fill="ecfdf0"/>
      </w:pPr>
      <w:r>
        <w:rPr>
          <w:color w:val="BFBFBF"/>
          <w:shd w:val="clear" w:color="auto" w:fill="#ddfbe6"/>
        </w:rPr>
        <w:tab/>
        <w:t>901</w:t>
        <w:tab/>
        <w:t>+</w:t>
        <w:tab/>
      </w:r>
      <w:r/>
    </w:p>
    <w:p>
      <w:pPr>
        <w:pStyle w:val="CodeChangeLine"/>
        <w:tabs>
          <w:tab w:pos="567" w:val="left"/>
          <w:tab w:pos="1134" w:val="left"/>
          <w:tab w:pos="1247" w:val="left"/>
        </w:tabs>
        <w:shd w:val="clear" w:color="auto" w:fill="ecfdf0"/>
      </w:pPr>
      <w:r>
        <w:rPr>
          <w:color w:val="BFBFBF"/>
          <w:shd w:val="clear" w:color="auto" w:fill="#ddfbe6"/>
        </w:rPr>
        <w:tab/>
        <w:t>902</w:t>
        <w:tab/>
        <w:t>+</w:t>
        <w:tab/>
      </w:r>
      <w:r/>
    </w:p>
    <w:p>
      <w:pPr>
        <w:pStyle w:val="CodeChangeLine"/>
        <w:tabs>
          <w:tab w:pos="567" w:val="left"/>
          <w:tab w:pos="1134" w:val="left"/>
          <w:tab w:pos="1247" w:val="left"/>
        </w:tabs>
        <w:shd w:val="clear" w:color="auto" w:fill="ecfdf0"/>
      </w:pPr>
      <w:r>
        <w:rPr>
          <w:color w:val="BFBFBF"/>
          <w:shd w:val="clear" w:color="auto" w:fill="#ddfbe6"/>
        </w:rPr>
        <w:tab/>
        <w:t>903</w:t>
        <w:tab/>
        <w:t>+</w:t>
        <w:tab/>
      </w:r>
      <w:r>
        <w:t>#### 7.2.2.13 Lack of Device-Scoped Bundled Handover Semantics for Multi-AE Devices</w:t>
      </w:r>
    </w:p>
    <w:p>
      <w:pPr>
        <w:pStyle w:val="CodeChangeLine"/>
        <w:tabs>
          <w:tab w:pos="567" w:val="left"/>
          <w:tab w:pos="1134" w:val="left"/>
          <w:tab w:pos="1247" w:val="left"/>
        </w:tabs>
        <w:shd w:val="clear" w:color="auto" w:fill="ecfdf0"/>
      </w:pPr>
      <w:r>
        <w:rPr>
          <w:color w:val="BFBFBF"/>
          <w:shd w:val="clear" w:color="auto" w:fill="#ddfbe6"/>
        </w:rPr>
        <w:tab/>
        <w:t>904</w:t>
        <w:tab/>
        <w:t>+</w:t>
        <w:tab/>
      </w:r>
      <w:r/>
    </w:p>
    <w:p>
      <w:pPr>
        <w:pStyle w:val="CodeChangeLine"/>
        <w:tabs>
          <w:tab w:pos="567" w:val="left"/>
          <w:tab w:pos="1134" w:val="left"/>
          <w:tab w:pos="1247" w:val="left"/>
        </w:tabs>
        <w:shd w:val="clear" w:color="auto" w:fill="ecfdf0"/>
      </w:pPr>
      <w:r>
        <w:rPr>
          <w:color w:val="BFBFBF"/>
          <w:shd w:val="clear" w:color="auto" w:fill="#ddfbe6"/>
        </w:rPr>
        <w:tab/>
        <w:t>905</w:t>
        <w:tab/>
        <w:t>+</w:t>
        <w:tab/>
      </w:r>
      <w:r>
        <w:t>Gap boundary: This subclause focuses on device-scoped, all-AE-together handover behavior for deployments that do not allow selective AE movement.</w:t>
      </w:r>
    </w:p>
    <w:p>
      <w:pPr>
        <w:pStyle w:val="CodeChangeLine"/>
        <w:tabs>
          <w:tab w:pos="567" w:val="left"/>
          <w:tab w:pos="1134" w:val="left"/>
          <w:tab w:pos="1247" w:val="left"/>
        </w:tabs>
        <w:shd w:val="clear" w:color="auto" w:fill="ecfdf0"/>
      </w:pPr>
      <w:r>
        <w:rPr>
          <w:color w:val="BFBFBF"/>
          <w:shd w:val="clear" w:color="auto" w:fill="#ddfbe6"/>
        </w:rPr>
        <w:tab/>
        <w:t>906</w:t>
        <w:tab/>
        <w:t>+</w:t>
        <w:tab/>
      </w:r>
      <w:r/>
    </w:p>
    <w:p>
      <w:pPr>
        <w:pStyle w:val="CodeChangeLine"/>
        <w:tabs>
          <w:tab w:pos="567" w:val="left"/>
          <w:tab w:pos="1134" w:val="left"/>
          <w:tab w:pos="1247" w:val="left"/>
        </w:tabs>
        <w:shd w:val="clear" w:color="auto" w:fill="ecfdf0"/>
      </w:pPr>
      <w:r>
        <w:rPr>
          <w:color w:val="BFBFBF"/>
          <w:shd w:val="clear" w:color="auto" w:fill="#ddfbe6"/>
        </w:rPr>
        <w:tab/>
        <w:t>907</w:t>
        <w:tab/>
        <w:t>+</w:t>
        <w:tab/>
      </w:r>
      <w:r>
        <w:t>In practical deployments, a single device may host multiple AEs. For some mobility scenarios, all AEs associated with the same device are expected to move together to the same target MN-CSE in one coordinated handover transaction.</w:t>
      </w:r>
    </w:p>
    <w:p>
      <w:pPr>
        <w:pStyle w:val="CodeChangeLine"/>
        <w:tabs>
          <w:tab w:pos="567" w:val="left"/>
          <w:tab w:pos="1134" w:val="left"/>
          <w:tab w:pos="1247" w:val="left"/>
        </w:tabs>
        <w:shd w:val="clear" w:color="auto" w:fill="ecfdf0"/>
      </w:pPr>
      <w:r>
        <w:rPr>
          <w:color w:val="BFBFBF"/>
          <w:shd w:val="clear" w:color="auto" w:fill="#ddfbe6"/>
        </w:rPr>
        <w:tab/>
        <w:t>908</w:t>
        <w:tab/>
        <w:t>+</w:t>
        <w:tab/>
      </w:r>
      <w:r/>
    </w:p>
    <w:p>
      <w:pPr>
        <w:pStyle w:val="CodeChangeLine"/>
        <w:tabs>
          <w:tab w:pos="567" w:val="left"/>
          <w:tab w:pos="1134" w:val="left"/>
          <w:tab w:pos="1247" w:val="left"/>
        </w:tabs>
        <w:shd w:val="clear" w:color="auto" w:fill="ecfdf0"/>
      </w:pPr>
      <w:r>
        <w:rPr>
          <w:color w:val="BFBFBF"/>
          <w:shd w:val="clear" w:color="auto" w:fill="#ddfbe6"/>
        </w:rPr>
        <w:tab/>
        <w:t>909</w:t>
        <w:tab/>
        <w:t>+</w:t>
        <w:tab/>
      </w:r>
      <w:r>
        <w:t>Current specifications primarily model handover-relevant registration behavior at AE granularity and do not define a normative bundled-handover semantic for a multi-AE device context. In particular, there is no clear normative model for:</w:t>
      </w:r>
    </w:p>
    <w:p>
      <w:pPr>
        <w:pStyle w:val="CodeChangeLine"/>
        <w:tabs>
          <w:tab w:pos="567" w:val="left"/>
          <w:tab w:pos="1134" w:val="left"/>
          <w:tab w:pos="1247" w:val="left"/>
        </w:tabs>
        <w:shd w:val="clear" w:color="auto" w:fill="ecfdf0"/>
      </w:pPr>
      <w:r>
        <w:rPr>
          <w:color w:val="BFBFBF"/>
          <w:shd w:val="clear" w:color="auto" w:fill="#ddfbe6"/>
        </w:rPr>
        <w:tab/>
        <w:t>910</w:t>
        <w:tab/>
        <w:t>+</w:t>
        <w:tab/>
      </w:r>
      <w:r/>
    </w:p>
    <w:p>
      <w:pPr>
        <w:pStyle w:val="CodeChangeLine"/>
        <w:tabs>
          <w:tab w:pos="567" w:val="left"/>
          <w:tab w:pos="1134" w:val="left"/>
          <w:tab w:pos="1247" w:val="left"/>
        </w:tabs>
        <w:shd w:val="clear" w:color="auto" w:fill="ecfdf0"/>
      </w:pPr>
      <w:r>
        <w:rPr>
          <w:color w:val="BFBFBF"/>
          <w:shd w:val="clear" w:color="auto" w:fill="#ddfbe6"/>
        </w:rPr>
        <w:tab/>
        <w:t>911</w:t>
        <w:tab/>
        <w:t>+</w:t>
        <w:tab/>
      </w:r>
      <w:r>
        <w:t>- discovering the complete AE set bound to the same moving device context,</w:t>
      </w:r>
    </w:p>
    <w:p>
      <w:pPr>
        <w:pStyle w:val="CodeChangeLine"/>
        <w:tabs>
          <w:tab w:pos="567" w:val="left"/>
          <w:tab w:pos="1134" w:val="left"/>
          <w:tab w:pos="1247" w:val="left"/>
        </w:tabs>
        <w:shd w:val="clear" w:color="auto" w:fill="ecfdf0"/>
      </w:pPr>
      <w:r>
        <w:rPr>
          <w:color w:val="BFBFBF"/>
          <w:shd w:val="clear" w:color="auto" w:fill="#ddfbe6"/>
        </w:rPr>
        <w:tab/>
        <w:t>912</w:t>
        <w:tab/>
        <w:t>+</w:t>
        <w:tab/>
      </w:r>
      <w:r>
        <w:t>- performing all-or-nothing admission/registration checks for that full AE set at the target MN-CSE,</w:t>
      </w:r>
    </w:p>
    <w:p>
      <w:pPr>
        <w:pStyle w:val="CodeChangeLine"/>
        <w:tabs>
          <w:tab w:pos="567" w:val="left"/>
          <w:tab w:pos="1134" w:val="left"/>
          <w:tab w:pos="1247" w:val="left"/>
        </w:tabs>
        <w:shd w:val="clear" w:color="auto" w:fill="ecfdf0"/>
      </w:pPr>
      <w:r>
        <w:rPr>
          <w:color w:val="BFBFBF"/>
          <w:shd w:val="clear" w:color="auto" w:fill="#ddfbe6"/>
        </w:rPr>
        <w:tab/>
        <w:t>913</w:t>
        <w:tab/>
        <w:t>+</w:t>
        <w:tab/>
      </w:r>
      <w:r>
        <w:t>- committing serving-MN-CSE switch atomically for all associated AEs, and</w:t>
      </w:r>
    </w:p>
    <w:p>
      <w:pPr>
        <w:pStyle w:val="CodeChangeLine"/>
        <w:tabs>
          <w:tab w:pos="567" w:val="left"/>
          <w:tab w:pos="1134" w:val="left"/>
          <w:tab w:pos="1247" w:val="left"/>
        </w:tabs>
        <w:shd w:val="clear" w:color="auto" w:fill="ecfdf0"/>
      </w:pPr>
      <w:r>
        <w:rPr>
          <w:color w:val="BFBFBF"/>
          <w:shd w:val="clear" w:color="auto" w:fill="#ddfbe6"/>
        </w:rPr>
        <w:tab/>
        <w:t>914</w:t>
        <w:tab/>
        <w:t>+</w:t>
        <w:tab/>
      </w:r>
      <w:r>
        <w:t>- avoiding partial migration where only a subset of AEs move while others remain on the source.</w:t>
      </w:r>
    </w:p>
    <w:p>
      <w:pPr>
        <w:pStyle w:val="CodeChangeLine"/>
        <w:tabs>
          <w:tab w:pos="567" w:val="left"/>
          <w:tab w:pos="1134" w:val="left"/>
          <w:tab w:pos="1247" w:val="left"/>
        </w:tabs>
        <w:shd w:val="clear" w:color="auto" w:fill="ecfdf0"/>
      </w:pPr>
      <w:r>
        <w:rPr>
          <w:color w:val="BFBFBF"/>
          <w:shd w:val="clear" w:color="auto" w:fill="#ddfbe6"/>
        </w:rPr>
        <w:tab/>
        <w:t>915</w:t>
        <w:tab/>
        <w:t>+</w:t>
        <w:tab/>
      </w:r>
      <w:r>
        <w:t>- set priorities of the AEs and the dependency between the AEs (e.g. specifying the order to AE registration during a mobility event).</w:t>
      </w:r>
    </w:p>
    <w:p>
      <w:pPr>
        <w:pStyle w:val="CodeChangeLine"/>
        <w:tabs>
          <w:tab w:pos="567" w:val="left"/>
          <w:tab w:pos="1134" w:val="left"/>
          <w:tab w:pos="1247" w:val="left"/>
        </w:tabs>
        <w:shd w:val="clear" w:color="auto" w:fill="ecfdf0"/>
      </w:pPr>
      <w:r>
        <w:rPr>
          <w:color w:val="BFBFBF"/>
          <w:shd w:val="clear" w:color="auto" w:fill="#ddfbe6"/>
        </w:rPr>
        <w:tab/>
        <w:t>916</w:t>
        <w:tab/>
        <w:t>+</w:t>
        <w:tab/>
      </w:r>
      <w:r/>
    </w:p>
    <w:p>
      <w:pPr>
        <w:pStyle w:val="CodeChangeLine"/>
        <w:tabs>
          <w:tab w:pos="567" w:val="left"/>
          <w:tab w:pos="1134" w:val="left"/>
          <w:tab w:pos="1247" w:val="left"/>
        </w:tabs>
        <w:shd w:val="clear" w:color="auto" w:fill="ecfdf0"/>
      </w:pPr>
      <w:r>
        <w:rPr>
          <w:color w:val="BFBFBF"/>
          <w:shd w:val="clear" w:color="auto" w:fill="#ddfbe6"/>
        </w:rPr>
        <w:tab/>
        <w:t>917</w:t>
        <w:tab/>
        <w:t>+</w:t>
        <w:tab/>
      </w:r>
      <w:r>
        <w:t>As a result, multi-AE devices may experience split-serving states during handover, where request routing, policy evaluation, and context continuity diverge between AEs that should remain operationally coupled.</w:t>
      </w:r>
    </w:p>
    <w:p>
      <w:pPr>
        <w:pStyle w:val="CodeChangeLine"/>
        <w:tabs>
          <w:tab w:pos="567" w:val="left"/>
          <w:tab w:pos="1134" w:val="left"/>
          <w:tab w:pos="1247" w:val="left"/>
        </w:tabs>
        <w:shd w:val="clear" w:color="auto" w:fill="ecfdf0"/>
      </w:pPr>
      <w:r>
        <w:rPr>
          <w:color w:val="BFBFBF"/>
          <w:shd w:val="clear" w:color="auto" w:fill="#ddfbe6"/>
        </w:rPr>
        <w:tab/>
        <w:t>918</w:t>
        <w:tab/>
        <w:t>+</w:t>
        <w:tab/>
      </w:r>
      <w:r/>
    </w:p>
    <w:p>
      <w:pPr>
        <w:pStyle w:val="CodeChangeLine"/>
        <w:tabs>
          <w:tab w:pos="567" w:val="left"/>
          <w:tab w:pos="1134" w:val="left"/>
          <w:tab w:pos="1247" w:val="left"/>
        </w:tabs>
        <w:shd w:val="clear" w:color="auto" w:fill="ecfdf0"/>
      </w:pPr>
      <w:r>
        <w:rPr>
          <w:color w:val="BFBFBF"/>
          <w:shd w:val="clear" w:color="auto" w:fill="#ddfbe6"/>
        </w:rPr>
        <w:tab/>
        <w:t>919</w:t>
        <w:tab/>
        <w:t>+</w:t>
        <w:tab/>
      </w:r>
      <w:r>
        <w:t>Impact on handover:</w:t>
      </w:r>
    </w:p>
    <w:p>
      <w:pPr>
        <w:pStyle w:val="CodeChangeLine"/>
        <w:tabs>
          <w:tab w:pos="567" w:val="left"/>
          <w:tab w:pos="1134" w:val="left"/>
          <w:tab w:pos="1247" w:val="left"/>
        </w:tabs>
        <w:shd w:val="clear" w:color="auto" w:fill="ecfdf0"/>
      </w:pPr>
      <w:r>
        <w:rPr>
          <w:color w:val="BFBFBF"/>
          <w:shd w:val="clear" w:color="auto" w:fill="#ddfbe6"/>
        </w:rPr>
        <w:tab/>
        <w:t>920</w:t>
        <w:tab/>
        <w:t>+</w:t>
        <w:tab/>
      </w:r>
      <w:r/>
    </w:p>
    <w:p>
      <w:pPr>
        <w:pStyle w:val="CodeChangeLine"/>
        <w:tabs>
          <w:tab w:pos="567" w:val="left"/>
          <w:tab w:pos="1134" w:val="left"/>
          <w:tab w:pos="1247" w:val="left"/>
        </w:tabs>
        <w:shd w:val="clear" w:color="auto" w:fill="ecfdf0"/>
      </w:pPr>
      <w:r>
        <w:rPr>
          <w:color w:val="BFBFBF"/>
          <w:shd w:val="clear" w:color="auto" w:fill="#ddfbe6"/>
        </w:rPr>
        <w:tab/>
        <w:t>921</w:t>
        <w:tab/>
        <w:t>+</w:t>
        <w:tab/>
      </w:r>
      <w:r>
        <w:t>- Device-level consistency can be broken when only part of the AE set moves.</w:t>
      </w:r>
    </w:p>
    <w:p>
      <w:pPr>
        <w:pStyle w:val="CodeChangeLine"/>
        <w:tabs>
          <w:tab w:pos="567" w:val="left"/>
          <w:tab w:pos="1134" w:val="left"/>
          <w:tab w:pos="1247" w:val="left"/>
        </w:tabs>
        <w:shd w:val="clear" w:color="auto" w:fill="ecfdf0"/>
      </w:pPr>
      <w:r>
        <w:rPr>
          <w:color w:val="BFBFBF"/>
          <w:shd w:val="clear" w:color="auto" w:fill="#ddfbe6"/>
        </w:rPr>
        <w:tab/>
        <w:t>922</w:t>
        <w:tab/>
        <w:t>+</w:t>
        <w:tab/>
      </w:r>
      <w:r>
        <w:t>- Downlink and control behavior can become non-deterministic across AEs on the same device.</w:t>
      </w:r>
    </w:p>
    <w:p>
      <w:pPr>
        <w:pStyle w:val="CodeChangeLine"/>
        <w:tabs>
          <w:tab w:pos="567" w:val="left"/>
          <w:tab w:pos="1134" w:val="left"/>
          <w:tab w:pos="1247" w:val="left"/>
        </w:tabs>
        <w:shd w:val="clear" w:color="auto" w:fill="ecfdf0"/>
      </w:pPr>
      <w:r>
        <w:rPr>
          <w:color w:val="BFBFBF"/>
          <w:shd w:val="clear" w:color="auto" w:fill="#ddfbe6"/>
        </w:rPr>
        <w:tab/>
        <w:t>923</w:t>
        <w:tab/>
        <w:t>+</w:t>
        <w:tab/>
      </w:r>
      <w:r>
        <w:t>- Rollback behavior can diverge across AEs, complicating recovery and observability.</w:t>
      </w:r>
    </w:p>
    <w:p>
      <w:pPr>
        <w:pStyle w:val="CodeChangeLine"/>
        <w:tabs>
          <w:tab w:pos="567" w:val="left"/>
          <w:tab w:pos="1134" w:val="left"/>
          <w:tab w:pos="1247" w:val="left"/>
        </w:tabs>
        <w:shd w:val="clear" w:color="auto" w:fill="ecfdf0"/>
      </w:pPr>
      <w:r>
        <w:rPr>
          <w:color w:val="BFBFBF"/>
          <w:shd w:val="clear" w:color="auto" w:fill="#ddfbe6"/>
        </w:rPr>
        <w:tab/>
        <w:t>924</w:t>
        <w:tab/>
        <w:t>+</w:t>
        <w:tab/>
      </w:r>
      <w:r/>
    </w:p>
    <w:p>
      <w:pPr>
        <w:pStyle w:val="CodeChangeLine"/>
        <w:tabs>
          <w:tab w:pos="567" w:val="left"/>
          <w:tab w:pos="1134" w:val="left"/>
          <w:tab w:pos="1247" w:val="left"/>
        </w:tabs>
        <w:shd w:val="clear" w:color="auto" w:fill="ecfdf0"/>
      </w:pPr>
      <w:r>
        <w:rPr>
          <w:color w:val="BFBFBF"/>
          <w:shd w:val="clear" w:color="auto" w:fill="#ddfbe6"/>
        </w:rPr>
        <w:tab/>
        <w:t>925</w:t>
        <w:tab/>
        <w:t>+</w:t>
        <w:tab/>
      </w:r>
      <w:r>
        <w:t>**Possible Extensions to Related oneM2M Elements**</w:t>
      </w:r>
    </w:p>
    <w:p>
      <w:pPr>
        <w:pStyle w:val="CodeChangeLine"/>
        <w:tabs>
          <w:tab w:pos="567" w:val="left"/>
          <w:tab w:pos="1134" w:val="left"/>
          <w:tab w:pos="1247" w:val="left"/>
        </w:tabs>
        <w:shd w:val="clear" w:color="auto" w:fill="ecfdf0"/>
      </w:pPr>
      <w:r>
        <w:rPr>
          <w:color w:val="BFBFBF"/>
          <w:shd w:val="clear" w:color="auto" w:fill="#ddfbe6"/>
        </w:rPr>
        <w:tab/>
        <w:t>926</w:t>
        <w:tab/>
        <w:t>+</w:t>
        <w:tab/>
      </w:r>
      <w:r/>
    </w:p>
    <w:p>
      <w:pPr>
        <w:pStyle w:val="CodeChangeLine"/>
        <w:tabs>
          <w:tab w:pos="567" w:val="left"/>
          <w:tab w:pos="1134" w:val="left"/>
          <w:tab w:pos="1247" w:val="left"/>
        </w:tabs>
        <w:shd w:val="clear" w:color="auto" w:fill="ecfdf0"/>
      </w:pPr>
      <w:r>
        <w:rPr>
          <w:color w:val="BFBFBF"/>
          <w:shd w:val="clear" w:color="auto" w:fill="#ddfbe6"/>
        </w:rPr>
        <w:tab/>
        <w:t>927</w:t>
        <w:tab/>
        <w:t>+</w:t>
        <w:tab/>
      </w:r>
      <w:r>
        <w:t>- device-scoped handover context that binds all AEs associated with a moving device to one handover transaction,</w:t>
      </w:r>
    </w:p>
    <w:p>
      <w:pPr>
        <w:pStyle w:val="CodeChangeLine"/>
        <w:tabs>
          <w:tab w:pos="567" w:val="left"/>
          <w:tab w:pos="1134" w:val="left"/>
          <w:tab w:pos="1247" w:val="left"/>
        </w:tabs>
        <w:shd w:val="clear" w:color="auto" w:fill="ecfdf0"/>
      </w:pPr>
      <w:r>
        <w:rPr>
          <w:color w:val="BFBFBF"/>
          <w:shd w:val="clear" w:color="auto" w:fill="#ddfbe6"/>
        </w:rPr>
        <w:tab/>
        <w:t>928</w:t>
        <w:tab/>
        <w:t>+</w:t>
        <w:tab/>
      </w:r>
      <w:r>
        <w:t>- transactional handover state model with explicit all-or-nothing commit/rollback behavior for AE bundles,</w:t>
      </w:r>
    </w:p>
    <w:p>
      <w:pPr>
        <w:pStyle w:val="CodeChangeLine"/>
        <w:tabs>
          <w:tab w:pos="567" w:val="left"/>
          <w:tab w:pos="1134" w:val="left"/>
          <w:tab w:pos="1247" w:val="left"/>
        </w:tabs>
        <w:shd w:val="clear" w:color="auto" w:fill="ecfdf0"/>
      </w:pPr>
      <w:r>
        <w:rPr>
          <w:color w:val="BFBFBF"/>
          <w:shd w:val="clear" w:color="auto" w:fill="#ddfbe6"/>
        </w:rPr>
        <w:tab/>
        <w:t>929</w:t>
        <w:tab/>
        <w:t>+</w:t>
        <w:tab/>
      </w:r>
      <w:r>
        <w:t>- bundled admission checks at target MN-CSE for the complete AE set before serving switch,</w:t>
      </w:r>
    </w:p>
    <w:p>
      <w:pPr>
        <w:pStyle w:val="CodeChangeLine"/>
        <w:tabs>
          <w:tab w:pos="567" w:val="left"/>
          <w:tab w:pos="1134" w:val="left"/>
          <w:tab w:pos="1247" w:val="left"/>
        </w:tabs>
        <w:shd w:val="clear" w:color="auto" w:fill="ecfdf0"/>
      </w:pPr>
      <w:r>
        <w:rPr>
          <w:color w:val="BFBFBF"/>
          <w:shd w:val="clear" w:color="auto" w:fill="#ddfbe6"/>
        </w:rPr>
        <w:tab/>
        <w:t>930</w:t>
        <w:tab/>
        <w:t>+</w:t>
        <w:tab/>
      </w:r>
      <w:r>
        <w:t>- serving-MN-CSE resolution semantics that prevent partial serving split for coupled AE bundles,</w:t>
      </w:r>
    </w:p>
    <w:p>
      <w:pPr>
        <w:pStyle w:val="CodeChangeLine"/>
        <w:tabs>
          <w:tab w:pos="567" w:val="left"/>
          <w:tab w:pos="1134" w:val="left"/>
          <w:tab w:pos="1247" w:val="left"/>
        </w:tabs>
        <w:shd w:val="clear" w:color="auto" w:fill="ecfdf0"/>
      </w:pPr>
      <w:r>
        <w:rPr>
          <w:color w:val="BFBFBF"/>
          <w:shd w:val="clear" w:color="auto" w:fill="#ddfbe6"/>
        </w:rPr>
        <w:tab/>
        <w:t>931</w:t>
        <w:tab/>
        <w:t>+</w:t>
        <w:tab/>
      </w:r>
      <w:r>
        <w:t>- deterministic timeout/failure handling when any AE in the bundle fails validation or registration.</w:t>
      </w:r>
    </w:p>
    <w:p>
      <w:pPr>
        <w:pStyle w:val="CodeChangeLine"/>
        <w:tabs>
          <w:tab w:pos="567" w:val="left"/>
          <w:tab w:pos="1134" w:val="left"/>
          <w:tab w:pos="1247" w:val="left"/>
        </w:tabs>
        <w:shd w:val="clear" w:color="auto" w:fill="ecfdf0"/>
      </w:pPr>
      <w:r>
        <w:rPr>
          <w:color w:val="BFBFBF"/>
          <w:shd w:val="clear" w:color="auto" w:fill="#ddfbe6"/>
        </w:rPr>
        <w:tab/>
        <w:t>932</w:t>
        <w:tab/>
        <w:t>+</w:t>
        <w:tab/>
      </w:r>
      <w:r/>
    </w:p>
    <w:p>
      <w:pPr>
        <w:pStyle w:val="CodeChangeLine"/>
        <w:tabs>
          <w:tab w:pos="567" w:val="left"/>
          <w:tab w:pos="1134" w:val="left"/>
          <w:tab w:pos="1247" w:val="left"/>
        </w:tabs>
        <w:shd w:val="clear" w:color="auto" w:fill="ecfdf0"/>
      </w:pPr>
      <w:r>
        <w:rPr>
          <w:color w:val="BFBFBF"/>
          <w:shd w:val="clear" w:color="auto" w:fill="#ddfbe6"/>
        </w:rPr>
        <w:tab/>
        <w:t>933</w:t>
        <w:tab/>
        <w:t>+</w:t>
        <w:tab/>
      </w:r>
      <w:r/>
    </w:p>
    <w:p>
      <w:pPr>
        <w:pStyle w:val="CodeChangeLine"/>
        <w:tabs>
          <w:tab w:pos="567" w:val="left"/>
          <w:tab w:pos="1134" w:val="left"/>
          <w:tab w:pos="1247" w:val="left"/>
        </w:tabs>
        <w:shd w:val="clear" w:color="auto" w:fill="ecfdf0"/>
      </w:pPr>
      <w:r>
        <w:rPr>
          <w:color w:val="BFBFBF"/>
          <w:shd w:val="clear" w:color="auto" w:fill="#ddfbe6"/>
        </w:rPr>
        <w:tab/>
        <w:t>934</w:t>
        <w:tab/>
        <w:t>+</w:t>
        <w:tab/>
      </w:r>
      <w:r>
        <w:t>#### 7.2.2.14 Synthesis</w:t>
      </w:r>
    </w:p>
    <w:p>
      <w:pPr>
        <w:pStyle w:val="CodeChangeLine"/>
        <w:tabs>
          <w:tab w:pos="567" w:val="left"/>
          <w:tab w:pos="1134" w:val="left"/>
          <w:tab w:pos="1247" w:val="left"/>
        </w:tabs>
        <w:shd w:val="clear" w:color="auto" w:fill="ecfdf0"/>
      </w:pPr>
      <w:r>
        <w:rPr>
          <w:color w:val="BFBFBF"/>
          <w:shd w:val="clear" w:color="auto" w:fill="#ddfbe6"/>
        </w:rPr>
        <w:tab/>
        <w:t>935</w:t>
        <w:tab/>
        <w:t>+</w:t>
        <w:tab/>
      </w:r>
      <w:r/>
    </w:p>
    <w:p>
      <w:pPr>
        <w:pStyle w:val="CodeChangeLine"/>
        <w:tabs>
          <w:tab w:pos="567" w:val="left"/>
          <w:tab w:pos="1134" w:val="left"/>
          <w:tab w:pos="1247" w:val="left"/>
        </w:tabs>
        <w:shd w:val="clear" w:color="auto" w:fill="ecfdf0"/>
      </w:pPr>
      <w:r>
        <w:rPr>
          <w:color w:val="BFBFBF"/>
          <w:shd w:val="clear" w:color="auto" w:fill="#ddfbe6"/>
        </w:rPr>
        <w:tab/>
        <w:t>936</w:t>
        <w:tab/>
        <w:t>+</w:t>
        <w:tab/>
      </w:r>
      <w:r>
        <w:t>The analysis in 7.2.2 shows that oneM2M and MEC provide relevant baseline capabilities, but still leave interoperability-critical ambiguities for mobility-aware handover in identity continuity, context continuity, serving-MN-CSE resolution, and deterministic candidate/deployment handling.</w:t>
      </w:r>
    </w:p>
    <w:p>
      <w:pPr>
        <w:pStyle w:val="CodeChangeLine"/>
        <w:tabs>
          <w:tab w:pos="567" w:val="left"/>
          <w:tab w:pos="1134" w:val="left"/>
          <w:tab w:pos="1247" w:val="left"/>
        </w:tabs>
        <w:shd w:val="clear" w:color="auto" w:fill="ecfdf0"/>
      </w:pPr>
      <w:r>
        <w:rPr>
          <w:color w:val="BFBFBF"/>
          <w:shd w:val="clear" w:color="auto" w:fill="#ddfbe6"/>
        </w:rPr>
        <w:tab/>
        <w:t>937</w:t>
        <w:tab/>
        <w:t>+</w:t>
        <w:tab/>
      </w:r>
      <w:r/>
    </w:p>
    <w:p>
      <w:pPr>
        <w:pStyle w:val="CodeChangeLine"/>
        <w:tabs>
          <w:tab w:pos="567" w:val="left"/>
          <w:tab w:pos="1134" w:val="left"/>
          <w:tab w:pos="1247" w:val="left"/>
        </w:tabs>
        <w:shd w:val="clear" w:color="auto" w:fill="ecfdf0"/>
      </w:pPr>
      <w:r>
        <w:rPr>
          <w:color w:val="BFBFBF"/>
          <w:shd w:val="clear" w:color="auto" w:fill="#ddfbe6"/>
        </w:rPr>
        <w:tab/>
        <w:t>938</w:t>
        <w:tab/>
        <w:t>+</w:t>
        <w:tab/>
      </w:r>
      <w:r>
        <w:t>The highest impact ambiguities are concentrated in 7.2.2.1, 7.2.2.2, 7.2.2.4, 7.2.2.5, 7.2.2.12, and 7.2.2.13, where inconsistent interpretation can produce incompatible behavior across implementations during mobility-driven transitions.</w:t>
      </w:r>
    </w:p>
    <w:p>
      <w:pPr>
        <w:pStyle w:val="CodeChangeLine"/>
        <w:tabs>
          <w:tab w:pos="567" w:val="left"/>
          <w:tab w:pos="1134" w:val="left"/>
          <w:tab w:pos="1247" w:val="left"/>
        </w:tabs>
        <w:shd w:val="clear" w:color="auto" w:fill="ecfdf0"/>
      </w:pPr>
      <w:r>
        <w:rPr>
          <w:color w:val="BFBFBF"/>
          <w:shd w:val="clear" w:color="auto" w:fill="#ddfbe6"/>
        </w:rPr>
        <w:tab/>
        <w:t>939</w:t>
        <w:tab/>
        <w:t>+</w:t>
        <w:tab/>
      </w:r>
      <w:r/>
    </w:p>
    <w:p>
      <w:pPr>
        <w:pStyle w:val="CodeChangeLine"/>
        <w:tabs>
          <w:tab w:pos="567" w:val="left"/>
          <w:tab w:pos="1134" w:val="left"/>
          <w:tab w:pos="1247" w:val="left"/>
        </w:tabs>
        <w:shd w:val="clear" w:color="auto" w:fill="ecfdf0"/>
      </w:pPr>
      <w:r>
        <w:rPr>
          <w:color w:val="BFBFBF"/>
          <w:shd w:val="clear" w:color="auto" w:fill="#ddfbe6"/>
        </w:rPr>
        <w:tab/>
        <w:t>940</w:t>
        <w:tab/>
        <w:t>+</w:t>
        <w:tab/>
      </w:r>
      <w:r>
        <w:t>Additional variability is introduced by discovery/ranking/deployment/policy integration gaps (7.2.2.6 through 7.2.2.11), including unresolved cross-domain and cross-authority coordination points captured as OI-7.2-01 through OI-7.2-05.</w:t>
      </w:r>
    </w:p>
    <w:p>
      <w:pPr>
        <w:pStyle w:val="CodeChangeLine"/>
        <w:tabs>
          <w:tab w:pos="567" w:val="left"/>
          <w:tab w:pos="1134" w:val="left"/>
          <w:tab w:pos="1247" w:val="left"/>
        </w:tabs>
        <w:shd w:val="clear" w:color="auto" w:fill="ecfdf0"/>
      </w:pPr>
      <w:r>
        <w:rPr>
          <w:color w:val="BFBFBF"/>
          <w:shd w:val="clear" w:color="auto" w:fill="#ddfbe6"/>
        </w:rPr>
        <w:tab/>
        <w:t>941</w:t>
        <w:tab/>
        <w:t>+</w:t>
        <w:tab/>
      </w:r>
      <w:r/>
    </w:p>
    <w:p>
      <w:pPr>
        <w:pStyle w:val="CodeChangeLine"/>
        <w:tabs>
          <w:tab w:pos="567" w:val="left"/>
          <w:tab w:pos="1134" w:val="left"/>
          <w:tab w:pos="1247" w:val="left"/>
        </w:tabs>
        <w:shd w:val="clear" w:color="auto" w:fill="ecfdf0"/>
      </w:pPr>
      <w:r>
        <w:rPr>
          <w:color w:val="BFBFBF"/>
          <w:shd w:val="clear" w:color="auto" w:fill="#ddfbe6"/>
        </w:rPr>
        <w:tab/>
        <w:t>942</w:t>
        <w:tab/>
        <w:t>+</w:t>
        <w:tab/>
      </w:r>
      <w:r>
        <w:t>As a result, implementation-specific choices are likely to diverge without a clearer common interpretation of handover-relevant semantics before solution definition and requirement formalization.</w:t>
      </w:r>
    </w:p>
    <w:p>
      <w:pPr>
        <w:pStyle w:val="CodeChangeLine"/>
        <w:tabs>
          <w:tab w:pos="567" w:val="left"/>
          <w:tab w:pos="1134" w:val="left"/>
          <w:tab w:pos="1247" w:val="left"/>
        </w:tabs>
        <w:shd w:val="clear" w:color="auto" w:fill="ecfdf0"/>
      </w:pPr>
      <w:r>
        <w:rPr>
          <w:color w:val="BFBFBF"/>
          <w:shd w:val="clear" w:color="auto" w:fill="#ddfbe6"/>
        </w:rPr>
        <w:tab/>
        <w:t>943</w:t>
        <w:tab/>
        <w:t>+</w:t>
        <w:tab/>
      </w:r>
      <w:r/>
    </w:p>
    <w:p>
      <w:pPr>
        <w:pStyle w:val="CodeChangeLine"/>
        <w:tabs>
          <w:tab w:pos="567" w:val="left"/>
          <w:tab w:pos="1134" w:val="left"/>
          <w:tab w:pos="1247" w:val="left"/>
        </w:tabs>
        <w:shd w:val="clear" w:color="auto" w:fill="ecfdf0"/>
      </w:pPr>
      <w:r>
        <w:rPr>
          <w:color w:val="BFBFBF"/>
          <w:shd w:val="clear" w:color="auto" w:fill="#ddfbe6"/>
        </w:rPr>
        <w:tab/>
        <w:t>944</w:t>
        <w:tab/>
        <w:t>+</w:t>
        <w:tab/>
      </w:r>
      <w:r/>
    </w:p>
    <w:p>
      <w:pPr>
        <w:pStyle w:val="CodeChangeLine"/>
        <w:tabs>
          <w:tab w:pos="567" w:val="left"/>
          <w:tab w:pos="1134" w:val="left"/>
          <w:tab w:pos="1247" w:val="left"/>
        </w:tabs>
        <w:shd w:val="clear" w:color="auto" w:fill="ecfdf0"/>
      </w:pPr>
      <w:r>
        <w:rPr>
          <w:color w:val="BFBFBF"/>
          <w:shd w:val="clear" w:color="auto" w:fill="#ddfbe6"/>
        </w:rPr>
        <w:tab/>
        <w:t>945</w:t>
        <w:tab/>
        <w:t>+</w:t>
        <w:tab/>
      </w:r>
      <w:r/>
    </w:p>
    <w:p>
      <w:pPr>
        <w:pStyle w:val="CodeChangeLine"/>
        <w:tabs>
          <w:tab w:pos="567" w:val="left"/>
          <w:tab w:pos="1134" w:val="left"/>
          <w:tab w:pos="1247" w:val="left"/>
        </w:tabs>
        <w:shd w:val="clear" w:color="auto" w:fill="ecfdf0"/>
      </w:pPr>
      <w:r>
        <w:rPr>
          <w:color w:val="BFBFBF"/>
          <w:shd w:val="clear" w:color="auto" w:fill="#ddfbe6"/>
        </w:rPr>
        <w:tab/>
        <w:t>946</w:t>
        <w:tab/>
        <w:t>+</w:t>
        <w:tab/>
      </w:r>
      <w:r/>
    </w:p>
    <w:p>
      <w:pPr>
        <w:pStyle w:val="CodeChangeLine"/>
        <w:tabs>
          <w:tab w:pos="567" w:val="left"/>
          <w:tab w:pos="1134" w:val="left"/>
          <w:tab w:pos="1247" w:val="left"/>
        </w:tabs>
      </w:pPr>
      <w:r>
        <w:rPr>
          <w:color w:val="BFBFBF"/>
          <w:shd w:val="clear" w:color="auto" w:fill="fafafa"/>
        </w:rPr>
        <w:t>478</w:t>
        <w:tab/>
        <w:t>947</w:t>
        <w:tab/>
        <w:tab/>
      </w:r>
      <w:r>
        <w:t>### 7.2.3 Key Issues and requirements</w:t>
      </w:r>
    </w:p>
    <w:p>
      <w:pPr>
        <w:pStyle w:val="CodeChangeLine"/>
        <w:tabs>
          <w:tab w:pos="567" w:val="left"/>
          <w:tab w:pos="1134" w:val="left"/>
          <w:tab w:pos="1247" w:val="left"/>
        </w:tabs>
        <w:shd w:val="clear" w:color="auto" w:fill="fbe9eb"/>
      </w:pPr>
      <w:r>
        <w:rPr>
          <w:color w:val="BFBFBF"/>
          <w:shd w:val="clear" w:color="auto" w:fill="#f9d7dc"/>
        </w:rPr>
        <w:t>479</w:t>
        <w:tab/>
        <w:tab/>
        <w:t>-</w:t>
        <w:tab/>
      </w:r>
      <w:r>
        <w:t>### 7.2.4 Solution #n</w:t>
      </w:r>
    </w:p>
    <w:p>
      <w:pPr>
        <w:pStyle w:val="CodeChangeLine"/>
        <w:tabs>
          <w:tab w:pos="567" w:val="left"/>
          <w:tab w:pos="1134" w:val="left"/>
          <w:tab w:pos="1247" w:val="left"/>
        </w:tabs>
        <w:shd w:val="clear" w:color="auto" w:fill="ecfdf0"/>
      </w:pPr>
      <w:r>
        <w:rPr>
          <w:color w:val="BFBFBF"/>
          <w:shd w:val="clear" w:color="auto" w:fill="#ddfbe6"/>
        </w:rPr>
        <w:tab/>
        <w:t>948</w:t>
        <w:tab/>
        <w:t>+</w:t>
        <w:tab/>
      </w:r>
      <w:r>
        <w:t>#### 7.2.3.1 Introduction</w:t>
      </w:r>
    </w:p>
    <w:p>
      <w:pPr>
        <w:pStyle w:val="CodeChangeLine"/>
        <w:tabs>
          <w:tab w:pos="567" w:val="left"/>
          <w:tab w:pos="1134" w:val="left"/>
          <w:tab w:pos="1247" w:val="left"/>
        </w:tabs>
        <w:shd w:val="clear" w:color="auto" w:fill="ecfdf0"/>
      </w:pPr>
      <w:r>
        <w:rPr>
          <w:color w:val="BFBFBF"/>
          <w:shd w:val="clear" w:color="auto" w:fill="#ddfbe6"/>
        </w:rPr>
        <w:tab/>
        <w:t>949</w:t>
        <w:tab/>
        <w:t>+</w:t>
        <w:tab/>
      </w:r>
      <w:r>
        <w:t>To address the identified gaps in mobility-aware context handover within oneM2M systems, a set of key issues and requirements has been established. These requirements aim to define normative semantics, procedures, and constraints that enable consistent handling of AE mobility, context continuity, and serving CSE resolution across MN-CSE boundaries. The following subsections outline the primary requirements derived from the gap analysis.</w:t>
      </w:r>
    </w:p>
    <w:p>
      <w:pPr>
        <w:pStyle w:val="CodeChangeLine"/>
        <w:tabs>
          <w:tab w:pos="567" w:val="left"/>
          <w:tab w:pos="1134" w:val="left"/>
          <w:tab w:pos="1247" w:val="left"/>
        </w:tabs>
        <w:shd w:val="clear" w:color="auto" w:fill="ecfdf0"/>
      </w:pPr>
      <w:r>
        <w:rPr>
          <w:color w:val="BFBFBF"/>
          <w:shd w:val="clear" w:color="auto" w:fill="#ddfbe6"/>
        </w:rPr>
        <w:tab/>
        <w:t>950</w:t>
        <w:tab/>
        <w:t>+</w:t>
        <w:tab/>
      </w:r>
      <w:r/>
    </w:p>
    <w:p>
      <w:pPr>
        <w:pStyle w:val="CodeChangeLine"/>
        <w:tabs>
          <w:tab w:pos="567" w:val="left"/>
          <w:tab w:pos="1134" w:val="left"/>
          <w:tab w:pos="1247" w:val="left"/>
        </w:tabs>
        <w:shd w:val="clear" w:color="auto" w:fill="ecfdf0"/>
      </w:pPr>
      <w:r>
        <w:rPr>
          <w:color w:val="BFBFBF"/>
          <w:shd w:val="clear" w:color="auto" w:fill="#ddfbe6"/>
        </w:rPr>
        <w:tab/>
        <w:t>951</w:t>
        <w:tab/>
        <w:t>+</w:t>
        <w:tab/>
      </w:r>
      <w:r>
        <w:t>### 7.2.4 Solutions Considered</w:t>
      </w:r>
    </w:p>
    <w:p>
      <w:pPr>
        <w:pStyle w:val="CodeChangeLine"/>
        <w:tabs>
          <w:tab w:pos="567" w:val="left"/>
          <w:tab w:pos="1134" w:val="left"/>
          <w:tab w:pos="1247" w:val="left"/>
        </w:tabs>
        <w:shd w:val="clear" w:color="auto" w:fill="ecfdf0"/>
      </w:pPr>
      <w:r>
        <w:rPr>
          <w:color w:val="BFBFBF"/>
          <w:shd w:val="clear" w:color="auto" w:fill="#ddfbe6"/>
        </w:rPr>
        <w:tab/>
        <w:t>952</w:t>
        <w:tab/>
        <w:t>+</w:t>
        <w:tab/>
      </w:r>
      <w:r>
        <w:t>#### 7.2.4.1: Introduction</w:t>
      </w:r>
    </w:p>
    <w:p>
      <w:pPr>
        <w:pStyle w:val="CodeChangeLine"/>
        <w:tabs>
          <w:tab w:pos="567" w:val="left"/>
          <w:tab w:pos="1134" w:val="left"/>
          <w:tab w:pos="1247" w:val="left"/>
        </w:tabs>
        <w:shd w:val="clear" w:color="auto" w:fill="ecfdf0"/>
      </w:pPr>
      <w:r>
        <w:rPr>
          <w:color w:val="BFBFBF"/>
          <w:shd w:val="clear" w:color="auto" w:fill="#ddfbe6"/>
        </w:rPr>
        <w:tab/>
        <w:t>953</w:t>
        <w:tab/>
        <w:t>+</w:t>
        <w:tab/>
      </w:r>
      <w:r>
        <w:t xml:space="preserve">Description of various solutions considered for handover between oneM2M and MEC platforms. </w:t>
      </w:r>
    </w:p>
    <w:p>
      <w:pPr>
        <w:pStyle w:val="CodeChangeLine"/>
        <w:tabs>
          <w:tab w:pos="567" w:val="left"/>
          <w:tab w:pos="1134" w:val="left"/>
          <w:tab w:pos="1247" w:val="left"/>
        </w:tabs>
        <w:shd w:val="clear" w:color="auto" w:fill="ecfdf0"/>
      </w:pPr>
      <w:r>
        <w:rPr>
          <w:color w:val="BFBFBF"/>
          <w:shd w:val="clear" w:color="auto" w:fill="#ddfbe6"/>
        </w:rPr>
        <w:tab/>
        <w:t>954</w:t>
        <w:tab/>
        <w:t>+</w:t>
        <w:tab/>
      </w:r>
      <w:r>
        <w:t>#### 7.2.4.2: Network initiated handover</w:t>
      </w:r>
    </w:p>
    <w:p>
      <w:pPr>
        <w:pStyle w:val="CodeChangeLine"/>
        <w:tabs>
          <w:tab w:pos="567" w:val="left"/>
          <w:tab w:pos="1134" w:val="left"/>
          <w:tab w:pos="1247" w:val="left"/>
        </w:tabs>
        <w:shd w:val="clear" w:color="auto" w:fill="ecfdf0"/>
      </w:pPr>
      <w:r>
        <w:rPr>
          <w:color w:val="BFBFBF"/>
          <w:shd w:val="clear" w:color="auto" w:fill="#ddfbe6"/>
        </w:rPr>
        <w:tab/>
        <w:t>955</w:t>
        <w:tab/>
        <w:t>+</w:t>
        <w:tab/>
      </w:r>
      <w:r>
        <w:t>#### 7.2.4.3: CSE initiated handover</w:t>
      </w:r>
    </w:p>
    <w:p>
      <w:pPr>
        <w:pStyle w:val="CodeChangeLine"/>
        <w:tabs>
          <w:tab w:pos="567" w:val="left"/>
          <w:tab w:pos="1134" w:val="left"/>
          <w:tab w:pos="1247" w:val="left"/>
        </w:tabs>
        <w:shd w:val="clear" w:color="auto" w:fill="ecfdf0"/>
      </w:pPr>
      <w:r>
        <w:rPr>
          <w:color w:val="BFBFBF"/>
          <w:shd w:val="clear" w:color="auto" w:fill="#ddfbe6"/>
        </w:rPr>
        <w:tab/>
        <w:t>956</w:t>
        <w:tab/>
        <w:t>+</w:t>
        <w:tab/>
      </w:r>
      <w:r>
        <w:t>#### 7.2.4.4: MEC initiated handover</w:t>
      </w:r>
    </w:p>
    <w:p>
      <w:pPr>
        <w:pStyle w:val="CodeChangeLine"/>
        <w:tabs>
          <w:tab w:pos="567" w:val="left"/>
          <w:tab w:pos="1134" w:val="left"/>
          <w:tab w:pos="1247" w:val="left"/>
        </w:tabs>
      </w:pPr>
      <w:r>
        <w:rPr>
          <w:color w:val="BFBFBF"/>
          <w:shd w:val="clear" w:color="auto" w:fill="fafafa"/>
        </w:rPr>
        <w:t>480</w:t>
        <w:tab/>
        <w:t>957</w:t>
        <w:tab/>
        <w:tab/>
      </w:r>
      <w:r/>
    </w:p>
    <w:p>
      <w:pPr>
        <w:pStyle w:val="CodeChangeLine"/>
        <w:tabs>
          <w:tab w:pos="567" w:val="left"/>
          <w:tab w:pos="1134" w:val="left"/>
          <w:tab w:pos="1247" w:val="left"/>
        </w:tabs>
      </w:pPr>
      <w:r>
        <w:rPr>
          <w:color w:val="BFBFBF"/>
          <w:shd w:val="clear" w:color="auto" w:fill="fafafa"/>
        </w:rPr>
        <w:t>481</w:t>
        <w:tab/>
        <w:t>958</w:t>
        <w:tab/>
        <w:tab/>
      </w:r>
      <w:r>
        <w:t>## 7.3 Coordinate Federated Learning</w:t>
      </w:r>
    </w:p>
    <w:p>
      <w:pPr>
        <w:pStyle w:val="CodeChangeLine"/>
        <w:tabs>
          <w:tab w:pos="567" w:val="left"/>
          <w:tab w:pos="1134" w:val="left"/>
          <w:tab w:pos="1247" w:val="left"/>
        </w:tabs>
      </w:pPr>
      <w:r>
        <w:rPr>
          <w:color w:val="BFBFBF"/>
          <w:shd w:val="clear" w:color="auto" w:fill="fafafa"/>
        </w:rPr>
        <w:t>482</w:t>
        <w:tab/>
        <w:t>959</w:t>
        <w:tab/>
        <w:tab/>
      </w:r>
      <w:r>
        <w:t>### 7.3.1 Description</w:t>
      </w:r>
    </w:p>
    <w:p>
      <w:pPr>
        <w:pStyle w:val="CodeHeader"/>
      </w:pPr>
      <w:r>
        <w:t xml:space="preserve">@@ -570,6 +1047,7 @@ </w:t>
      </w:r>
    </w:p>
    <w:p>
      <w:pPr>
        <w:pStyle w:val="CodeChangeLine"/>
        <w:tabs>
          <w:tab w:pos="567" w:val="left"/>
          <w:tab w:pos="1134" w:val="left"/>
          <w:tab w:pos="1247" w:val="left"/>
        </w:tabs>
      </w:pPr>
      <w:r>
        <w:rPr>
          <w:color w:val="BFBFBF"/>
          <w:shd w:val="clear" w:color="auto" w:fill="fafafa"/>
        </w:rPr>
        <w:t>570</w:t>
        <w:tab/>
        <w:t>1047</w:t>
        <w:tab/>
        <w:tab/>
      </w:r>
      <w:r>
        <w:t>|       |                | SDS-2025-0155-ESTIMED_tr-0077_orchestration \              |</w:t>
      </w:r>
    </w:p>
    <w:p>
      <w:pPr>
        <w:pStyle w:val="CodeChangeLine"/>
        <w:tabs>
          <w:tab w:pos="567" w:val="left"/>
          <w:tab w:pos="1134" w:val="left"/>
          <w:tab w:pos="1247" w:val="left"/>
        </w:tabs>
      </w:pPr>
      <w:r>
        <w:rPr>
          <w:color w:val="BFBFBF"/>
          <w:shd w:val="clear" w:color="auto" w:fill="fafafa"/>
        </w:rPr>
        <w:t>571</w:t>
        <w:tab/>
        <w:t>1048</w:t>
        <w:tab/>
        <w:tab/>
      </w:r>
      <w:r>
        <w:t xml:space="preserve">|       |                | SDS-2025-0156-ESTIMED_tr-0077_deployments                  | </w:t>
      </w:r>
    </w:p>
    <w:p>
      <w:pPr>
        <w:pStyle w:val="CodeChangeLine"/>
        <w:tabs>
          <w:tab w:pos="567" w:val="left"/>
          <w:tab w:pos="1134" w:val="left"/>
          <w:tab w:pos="1247" w:val="left"/>
        </w:tabs>
      </w:pPr>
      <w:r>
        <w:rPr>
          <w:color w:val="BFBFBF"/>
          <w:shd w:val="clear" w:color="auto" w:fill="fafafa"/>
        </w:rPr>
        <w:t>572</w:t>
        <w:tab/>
        <w:t>1049</w:t>
        <w:tab/>
        <w:tab/>
      </w:r>
      <w:r>
        <w:t>+-------+----------------+------------------------------------------------------------+</w:t>
      </w:r>
    </w:p>
    <w:p>
      <w:pPr>
        <w:pStyle w:val="CodeChangeLine"/>
        <w:tabs>
          <w:tab w:pos="567" w:val="left"/>
          <w:tab w:pos="1134" w:val="left"/>
          <w:tab w:pos="1247" w:val="left"/>
        </w:tabs>
        <w:shd w:val="clear" w:color="auto" w:fill="fbe9eb"/>
      </w:pPr>
      <w:r>
        <w:rPr>
          <w:color w:val="BFBFBF"/>
          <w:shd w:val="clear" w:color="auto" w:fill="#f9d7dc"/>
        </w:rPr>
        <w:t>573</w:t>
        <w:tab/>
        <w:tab/>
        <w:t>-</w:t>
        <w:tab/>
      </w:r>
      <w:r/>
    </w:p>
    <w:p>
      <w:pPr>
        <w:pStyle w:val="CodeChangeLine"/>
        <w:tabs>
          <w:tab w:pos="567" w:val="left"/>
          <w:tab w:pos="1134" w:val="left"/>
          <w:tab w:pos="1247" w:val="left"/>
        </w:tabs>
        <w:shd w:val="clear" w:color="auto" w:fill="fbe9eb"/>
      </w:pPr>
      <w:r>
        <w:rPr>
          <w:color w:val="BFBFBF"/>
          <w:shd w:val="clear" w:color="auto" w:fill="#f9d7dc"/>
        </w:rPr>
        <w:t>574</w:t>
        <w:tab/>
        <w:tab/>
        <w:t>-</w:t>
        <w:tab/>
      </w:r>
      <w:r/>
    </w:p>
    <w:p>
      <w:pPr>
        <w:pStyle w:val="CodeChangeLine"/>
        <w:tabs>
          <w:tab w:pos="567" w:val="left"/>
          <w:tab w:pos="1134" w:val="left"/>
          <w:tab w:pos="1247" w:val="left"/>
        </w:tabs>
        <w:shd w:val="clear" w:color="auto" w:fill="fbe9eb"/>
      </w:pPr>
      <w:r>
        <w:rPr>
          <w:color w:val="BFBFBF"/>
          <w:shd w:val="clear" w:color="auto" w:fill="#f9d7dc"/>
        </w:rPr>
        <w:t>575</w:t>
        <w:tab/>
        <w:tab/>
        <w:t>-</w:t>
        <w:tab/>
      </w:r>
      <w:r/>
    </w:p>
    <w:p>
      <w:pPr>
        <w:pStyle w:val="CodeChangeLine"/>
        <w:tabs>
          <w:tab w:pos="567" w:val="left"/>
          <w:tab w:pos="1134" w:val="left"/>
          <w:tab w:pos="1247" w:val="left"/>
        </w:tabs>
        <w:shd w:val="clear" w:color="auto" w:fill="ecfdf0"/>
      </w:pPr>
      <w:r>
        <w:rPr>
          <w:color w:val="BFBFBF"/>
          <w:shd w:val="clear" w:color="auto" w:fill="#ddfbe6"/>
        </w:rPr>
        <w:tab/>
        <w:t>1050</w:t>
        <w:tab/>
        <w:t>+</w:t>
        <w:tab/>
      </w:r>
      <w:r>
        <w:t xml:space="preserve">|V0.3.0 |2026-03-26      | SDS-2026-0007R03-ESTIMED-7_2_handover                      | </w:t>
      </w:r>
    </w:p>
    <w:p>
      <w:pPr>
        <w:pStyle w:val="CodeChangeLine"/>
        <w:tabs>
          <w:tab w:pos="567" w:val="left"/>
          <w:tab w:pos="1134" w:val="left"/>
          <w:tab w:pos="1247" w:val="left"/>
        </w:tabs>
        <w:shd w:val="clear" w:color="auto" w:fill="ecfdf0"/>
      </w:pPr>
      <w:r>
        <w:rPr>
          <w:color w:val="BFBFBF"/>
          <w:shd w:val="clear" w:color="auto" w:fill="#ddfbe6"/>
        </w:rPr>
        <w:tab/>
        <w:t>1051</w:t>
        <w:tab/>
        <w:t>+</w:t>
        <w:tab/>
      </w:r>
      <w:r>
        <w:t>+-------+----------------+------------------------------------------------------------+</w:t>
      </w:r>
    </w:p>
    <w:p>
      <w:pPr>
        <w:pStyle w:val="CodeChangeLine"/>
        <w:tabs>
          <w:tab w:pos="567" w:val="left"/>
          <w:tab w:pos="1134" w:val="left"/>
          <w:tab w:pos="1247" w:val="left"/>
        </w:tabs>
        <w:shd w:val="clear" w:color="auto" w:fill="ecfdf0"/>
      </w:pPr>
      <w:r>
        <w:rPr>
          <w:color w:val="BFBFBF"/>
          <w:shd w:val="clear" w:color="auto" w:fill="#ddfbe6"/>
        </w:rPr>
        <w:tab/>
        <w:t>1052</w:t>
        <w:tab/>
        <w:t>+</w:t>
        <w:tab/>
      </w:r>
      <w:r/>
    </w:p>
    <w:p>
      <w:pPr>
        <w:pStyle w:val="CodeChangeLine"/>
        <w:tabs>
          <w:tab w:pos="567" w:val="left"/>
          <w:tab w:pos="1134" w:val="left"/>
          <w:tab w:pos="1247" w:val="left"/>
        </w:tabs>
        <w:shd w:val="clear" w:color="auto" w:fill="ecfdf0"/>
      </w:pPr>
      <w:r>
        <w:rPr>
          <w:color w:val="BFBFBF"/>
          <w:shd w:val="clear" w:color="auto" w:fill="#ddfbe6"/>
        </w:rPr>
        <w:tab/>
        <w:t>1053</w:t>
        <w:tab/>
        <w:t>+</w:t>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---a/handover_archive_notes.md</w:t>
        <w:br/>
        <w:t>+++b/handover_archive_notes.md</w:t>
      </w:r>
    </w:p>
    <w:p>
      <w:pPr>
        <w:pStyle w:val="CodeHeader"/>
      </w:pPr>
      <w:r>
        <w:t xml:space="preserve">@@ -0,0 +1,61 @@ </w:t>
      </w:r>
    </w:p>
    <w:p>
      <w:pPr>
        <w:pStyle w:val="CodeChangeLine"/>
        <w:tabs>
          <w:tab w:pos="567" w:val="left"/>
          <w:tab w:pos="1134" w:val="left"/>
          <w:tab w:pos="1247" w:val="left"/>
        </w:tabs>
        <w:shd w:val="clear" w:color="auto" w:fill="ecfdf0"/>
      </w:pPr>
      <w:r>
        <w:rPr>
          <w:color w:val="BFBFBF"/>
          <w:shd w:val="clear" w:color="auto" w:fill="#ddfbe6"/>
        </w:rPr>
        <w:tab/>
        <w:t>1</w:t>
        <w:tab/>
        <w:t>+</w:t>
        <w:tab/>
      </w:r>
      <w:r/>
    </w:p>
    <w:p>
      <w:pPr>
        <w:pStyle w:val="CodeChangeLine"/>
        <w:tabs>
          <w:tab w:pos="567" w:val="left"/>
          <w:tab w:pos="1134" w:val="left"/>
          <w:tab w:pos="1247" w:val="left"/>
        </w:tabs>
        <w:shd w:val="clear" w:color="auto" w:fill="ecfdf0"/>
      </w:pPr>
      <w:r>
        <w:rPr>
          <w:color w:val="BFBFBF"/>
          <w:shd w:val="clear" w:color="auto" w:fill="#ddfbe6"/>
        </w:rPr>
        <w:tab/>
        <w:t>2</w:t>
        <w:tab/>
        <w:t>+</w:t>
        <w:tab/>
      </w:r>
      <w:r/>
    </w:p>
    <w:p>
      <w:pPr>
        <w:pStyle w:val="CodeChangeLine"/>
        <w:tabs>
          <w:tab w:pos="567" w:val="left"/>
          <w:tab w:pos="1134" w:val="left"/>
          <w:tab w:pos="1247" w:val="left"/>
        </w:tabs>
        <w:shd w:val="clear" w:color="auto" w:fill="ecfdf0"/>
      </w:pPr>
      <w:r>
        <w:rPr>
          <w:color w:val="BFBFBF"/>
          <w:shd w:val="clear" w:color="auto" w:fill="#ddfbe6"/>
        </w:rPr>
        <w:tab/>
        <w:t>3</w:t>
        <w:tab/>
        <w:t>+</w:t>
        <w:tab/>
      </w:r>
      <w:r/>
    </w:p>
    <w:p>
      <w:pPr>
        <w:pStyle w:val="CodeChangeLine"/>
        <w:tabs>
          <w:tab w:pos="567" w:val="left"/>
          <w:tab w:pos="1134" w:val="left"/>
          <w:tab w:pos="1247" w:val="left"/>
        </w:tabs>
        <w:shd w:val="clear" w:color="auto" w:fill="ecfdf0"/>
      </w:pPr>
      <w:r>
        <w:rPr>
          <w:color w:val="BFBFBF"/>
          <w:shd w:val="clear" w:color="auto" w:fill="#ddfbe6"/>
        </w:rPr>
        <w:tab/>
        <w:t>4</w:t>
        <w:tab/>
        <w:t>+</w:t>
        <w:tab/>
      </w:r>
      <w:r/>
    </w:p>
    <w:p>
      <w:pPr>
        <w:pStyle w:val="CodeChangeLine"/>
        <w:tabs>
          <w:tab w:pos="567" w:val="left"/>
          <w:tab w:pos="1134" w:val="left"/>
          <w:tab w:pos="1247" w:val="left"/>
        </w:tabs>
        <w:shd w:val="clear" w:color="auto" w:fill="ecfdf0"/>
      </w:pPr>
      <w:r>
        <w:rPr>
          <w:color w:val="BFBFBF"/>
          <w:shd w:val="clear" w:color="auto" w:fill="#ddfbe6"/>
        </w:rPr>
        <w:tab/>
        <w:t>5</w:t>
        <w:tab/>
        <w:t>+</w:t>
        <w:tab/>
      </w:r>
      <w:r>
        <w:t>&lt;mark&gt; show a couple images from use cases showing some sort of neighbour search and handover process&lt;/mark&gt;</w:t>
      </w:r>
    </w:p>
    <w:p>
      <w:pPr>
        <w:pStyle w:val="CodeChangeLine"/>
        <w:tabs>
          <w:tab w:pos="567" w:val="left"/>
          <w:tab w:pos="1134" w:val="left"/>
          <w:tab w:pos="1247" w:val="left"/>
        </w:tabs>
        <w:shd w:val="clear" w:color="auto" w:fill="ecfdf0"/>
      </w:pPr>
      <w:r>
        <w:rPr>
          <w:color w:val="BFBFBF"/>
          <w:shd w:val="clear" w:color="auto" w:fill="#ddfbe6"/>
        </w:rPr>
        <w:tab/>
        <w:t>6</w:t>
        <w:tab/>
        <w:t>+</w:t>
        <w:tab/>
      </w:r>
      <w:r/>
    </w:p>
    <w:p>
      <w:pPr>
        <w:pStyle w:val="CodeChangeLine"/>
        <w:tabs>
          <w:tab w:pos="567" w:val="left"/>
          <w:tab w:pos="1134" w:val="left"/>
          <w:tab w:pos="1247" w:val="left"/>
        </w:tabs>
        <w:shd w:val="clear" w:color="auto" w:fill="ecfdf0"/>
      </w:pPr>
      <w:r>
        <w:rPr>
          <w:color w:val="BFBFBF"/>
          <w:shd w:val="clear" w:color="auto" w:fill="#ddfbe6"/>
        </w:rPr>
        <w:tab/>
        <w:t>7</w:t>
        <w:tab/>
        <w:t>+</w:t>
        <w:tab/>
      </w:r>
      <w:r>
        <w:t>![Fig 7.2.1-1](media/7_2_MEC_based_Handover.png)</w:t>
      </w:r>
    </w:p>
    <w:p>
      <w:pPr>
        <w:pStyle w:val="CodeChangeLine"/>
        <w:tabs>
          <w:tab w:pos="567" w:val="left"/>
          <w:tab w:pos="1134" w:val="left"/>
          <w:tab w:pos="1247" w:val="left"/>
        </w:tabs>
        <w:shd w:val="clear" w:color="auto" w:fill="ecfdf0"/>
      </w:pPr>
      <w:r>
        <w:rPr>
          <w:color w:val="BFBFBF"/>
          <w:shd w:val="clear" w:color="auto" w:fill="#ddfbe6"/>
        </w:rPr>
        <w:tab/>
        <w:t>8</w:t>
        <w:tab/>
        <w:t>+</w:t>
        <w:tab/>
      </w:r>
      <w:r/>
    </w:p>
    <w:p>
      <w:pPr>
        <w:pStyle w:val="CodeChangeLine"/>
        <w:tabs>
          <w:tab w:pos="567" w:val="left"/>
          <w:tab w:pos="1134" w:val="left"/>
          <w:tab w:pos="1247" w:val="left"/>
        </w:tabs>
        <w:shd w:val="clear" w:color="auto" w:fill="ecfdf0"/>
      </w:pPr>
      <w:r>
        <w:rPr>
          <w:color w:val="BFBFBF"/>
          <w:shd w:val="clear" w:color="auto" w:fill="#ddfbe6"/>
        </w:rPr>
        <w:tab/>
        <w:t>9</w:t>
        <w:tab/>
        <w:t>+</w:t>
        <w:tab/>
      </w:r>
      <w:r/>
    </w:p>
    <w:p>
      <w:pPr>
        <w:pStyle w:val="CodeChangeLine"/>
        <w:tabs>
          <w:tab w:pos="567" w:val="left"/>
          <w:tab w:pos="1134" w:val="left"/>
          <w:tab w:pos="1247" w:val="left"/>
        </w:tabs>
        <w:shd w:val="clear" w:color="auto" w:fill="ecfdf0"/>
      </w:pPr>
      <w:r>
        <w:rPr>
          <w:color w:val="BFBFBF"/>
          <w:shd w:val="clear" w:color="auto" w:fill="#ddfbe6"/>
        </w:rPr>
        <w:tab/>
        <w:t>10</w:t>
        <w:tab/>
        <w:t>+</w:t>
        <w:tab/>
      </w:r>
      <w:r>
        <w:t>&lt;mark&gt; Provide details of the geo-fenceing and neighbour discovery process. &lt;/mark&gt;</w:t>
      </w:r>
    </w:p>
    <w:p>
      <w:pPr>
        <w:pStyle w:val="CodeChangeLine"/>
        <w:tabs>
          <w:tab w:pos="567" w:val="left"/>
          <w:tab w:pos="1134" w:val="left"/>
          <w:tab w:pos="1247" w:val="left"/>
        </w:tabs>
        <w:shd w:val="clear" w:color="auto" w:fill="ecfdf0"/>
      </w:pPr>
      <w:r>
        <w:rPr>
          <w:color w:val="BFBFBF"/>
          <w:shd w:val="clear" w:color="auto" w:fill="#ddfbe6"/>
        </w:rPr>
        <w:tab/>
        <w:t>11</w:t>
        <w:tab/>
        <w:t>+</w:t>
        <w:tab/>
      </w:r>
      <w:r/>
    </w:p>
    <w:p>
      <w:pPr>
        <w:pStyle w:val="CodeChangeLine"/>
        <w:tabs>
          <w:tab w:pos="567" w:val="left"/>
          <w:tab w:pos="1134" w:val="left"/>
          <w:tab w:pos="1247" w:val="left"/>
        </w:tabs>
        <w:shd w:val="clear" w:color="auto" w:fill="ecfdf0"/>
      </w:pPr>
      <w:r>
        <w:rPr>
          <w:color w:val="BFBFBF"/>
          <w:shd w:val="clear" w:color="auto" w:fill="#ddfbe6"/>
        </w:rPr>
        <w:tab/>
        <w:t>12</w:t>
        <w:tab/>
        <w:t>+</w:t>
        <w:tab/>
      </w:r>
      <w:r>
        <w:t>- There are different services that are offered by MEC. For geo-fencing the MEC 012 (RNIS Radio Network Information Service) and MEC 013 (MEC Location API) can used. In particular RNIS can tell when UE changes zone or move accross different cell boundries via RNIS cell-change notification. MEC 021 (Application Mobility Service AMS) does not offer geo fencing but it can use MEC 012 (see 5.4.2.1 of MEC 021 v3.1.1) to subscribe to cell change notification and determine weather UE has out of MEC coverage zone or not.</w:t>
      </w:r>
    </w:p>
    <w:p>
      <w:pPr>
        <w:pStyle w:val="CodeChangeLine"/>
        <w:tabs>
          <w:tab w:pos="567" w:val="left"/>
          <w:tab w:pos="1134" w:val="left"/>
          <w:tab w:pos="1247" w:val="left"/>
        </w:tabs>
        <w:shd w:val="clear" w:color="auto" w:fill="ecfdf0"/>
      </w:pPr>
      <w:r>
        <w:rPr>
          <w:color w:val="BFBFBF"/>
          <w:shd w:val="clear" w:color="auto" w:fill="#ddfbe6"/>
        </w:rPr>
        <w:tab/>
        <w:t>13</w:t>
        <w:tab/>
        <w:t>+</w:t>
        <w:tab/>
      </w:r>
      <w:r/>
    </w:p>
    <w:p>
      <w:pPr>
        <w:pStyle w:val="CodeChangeLine"/>
        <w:tabs>
          <w:tab w:pos="567" w:val="left"/>
          <w:tab w:pos="1134" w:val="left"/>
          <w:tab w:pos="1247" w:val="left"/>
        </w:tabs>
        <w:shd w:val="clear" w:color="auto" w:fill="ecfdf0"/>
      </w:pPr>
      <w:r>
        <w:rPr>
          <w:color w:val="BFBFBF"/>
          <w:shd w:val="clear" w:color="auto" w:fill="#ddfbe6"/>
        </w:rPr>
        <w:tab/>
        <w:t>14</w:t>
        <w:tab/>
        <w:t>+</w:t>
        <w:tab/>
      </w:r>
      <w:r/>
    </w:p>
    <w:p>
      <w:pPr>
        <w:pStyle w:val="CodeChangeLine"/>
        <w:tabs>
          <w:tab w:pos="567" w:val="left"/>
          <w:tab w:pos="1134" w:val="left"/>
          <w:tab w:pos="1247" w:val="left"/>
        </w:tabs>
        <w:shd w:val="clear" w:color="auto" w:fill="ecfdf0"/>
      </w:pPr>
      <w:r>
        <w:rPr>
          <w:color w:val="BFBFBF"/>
          <w:shd w:val="clear" w:color="auto" w:fill="#ddfbe6"/>
        </w:rPr>
        <w:tab/>
        <w:t>15</w:t>
        <w:tab/>
        <w:t>+</w:t>
        <w:tab/>
      </w:r>
      <w:r>
        <w:t>&lt;mark&gt; UE detects handover, describe what that means &lt;/mark&gt;</w:t>
      </w:r>
    </w:p>
    <w:p>
      <w:pPr>
        <w:pStyle w:val="CodeChangeLine"/>
        <w:tabs>
          <w:tab w:pos="567" w:val="left"/>
          <w:tab w:pos="1134" w:val="left"/>
          <w:tab w:pos="1247" w:val="left"/>
        </w:tabs>
        <w:shd w:val="clear" w:color="auto" w:fill="ecfdf0"/>
      </w:pPr>
      <w:r>
        <w:rPr>
          <w:color w:val="BFBFBF"/>
          <w:shd w:val="clear" w:color="auto" w:fill="#ddfbe6"/>
        </w:rPr>
        <w:tab/>
        <w:t>16</w:t>
        <w:tab/>
        <w:t>+</w:t>
        <w:tab/>
      </w:r>
      <w:r>
        <w:t xml:space="preserve">-   UE recieves a notification from AMS when it changes zones. Notification is only recieved if UE has subscribed to it. </w:t>
      </w:r>
    </w:p>
    <w:p>
      <w:pPr>
        <w:pStyle w:val="CodeChangeLine"/>
        <w:tabs>
          <w:tab w:pos="567" w:val="left"/>
          <w:tab w:pos="1134" w:val="left"/>
          <w:tab w:pos="1247" w:val="left"/>
        </w:tabs>
        <w:shd w:val="clear" w:color="auto" w:fill="ecfdf0"/>
      </w:pPr>
      <w:r>
        <w:rPr>
          <w:color w:val="BFBFBF"/>
          <w:shd w:val="clear" w:color="auto" w:fill="#ddfbe6"/>
        </w:rPr>
        <w:tab/>
        <w:t>17</w:t>
        <w:tab/>
        <w:t>+</w:t>
        <w:tab/>
      </w:r>
      <w:r/>
    </w:p>
    <w:p>
      <w:pPr>
        <w:pStyle w:val="CodeChangeLine"/>
        <w:tabs>
          <w:tab w:pos="567" w:val="left"/>
          <w:tab w:pos="1134" w:val="left"/>
          <w:tab w:pos="1247" w:val="left"/>
        </w:tabs>
        <w:shd w:val="clear" w:color="auto" w:fill="ecfdf0"/>
      </w:pPr>
      <w:r>
        <w:rPr>
          <w:color w:val="BFBFBF"/>
          <w:shd w:val="clear" w:color="auto" w:fill="#ddfbe6"/>
        </w:rPr>
        <w:tab/>
        <w:t>18</w:t>
        <w:tab/>
        <w:t>+</w:t>
        <w:tab/>
      </w:r>
      <w:r>
        <w:t>&lt;mark&gt; AMS triggers MobilityProcedureNotification &lt;/mark&gt;</w:t>
      </w:r>
    </w:p>
    <w:p>
      <w:pPr>
        <w:pStyle w:val="CodeChangeLine"/>
        <w:tabs>
          <w:tab w:pos="567" w:val="left"/>
          <w:tab w:pos="1134" w:val="left"/>
          <w:tab w:pos="1247" w:val="left"/>
        </w:tabs>
        <w:shd w:val="clear" w:color="auto" w:fill="ecfdf0"/>
      </w:pPr>
      <w:r>
        <w:rPr>
          <w:color w:val="BFBFBF"/>
          <w:shd w:val="clear" w:color="auto" w:fill="#ddfbe6"/>
        </w:rPr>
        <w:tab/>
        <w:t>19</w:t>
        <w:tab/>
        <w:t>+</w:t>
        <w:tab/>
      </w:r>
      <w:r/>
    </w:p>
    <w:p>
      <w:pPr>
        <w:pStyle w:val="CodeChangeLine"/>
        <w:tabs>
          <w:tab w:pos="567" w:val="left"/>
          <w:tab w:pos="1134" w:val="left"/>
          <w:tab w:pos="1247" w:val="left"/>
        </w:tabs>
        <w:shd w:val="clear" w:color="auto" w:fill="ecfdf0"/>
      </w:pPr>
      <w:r>
        <w:rPr>
          <w:color w:val="BFBFBF"/>
          <w:shd w:val="clear" w:color="auto" w:fill="#ddfbe6"/>
        </w:rPr>
        <w:tab/>
        <w:t>20</w:t>
        <w:tab/>
        <w:t>+</w:t>
        <w:tab/>
      </w:r>
      <w:r>
        <w:t>- The data model for AMS mobility subscription is known as MobilityProcedureNotification. It is issued whenever mobility procedure is initiated, completed or failed. It is given in Table 7.4.2‑1 (MEC 021 v3.1.1). One of variable in that model is "mobilityStatus" which has three possible values:</w:t>
      </w:r>
    </w:p>
    <w:p>
      <w:pPr>
        <w:pStyle w:val="CodeChangeLine"/>
        <w:tabs>
          <w:tab w:pos="567" w:val="left"/>
          <w:tab w:pos="1134" w:val="left"/>
          <w:tab w:pos="1247" w:val="left"/>
        </w:tabs>
        <w:shd w:val="clear" w:color="auto" w:fill="ecfdf0"/>
      </w:pPr>
      <w:r>
        <w:rPr>
          <w:color w:val="BFBFBF"/>
          <w:shd w:val="clear" w:color="auto" w:fill="#ddfbe6"/>
        </w:rPr>
        <w:tab/>
        <w:t>21</w:t>
        <w:tab/>
        <w:t>+</w:t>
        <w:tab/>
      </w:r>
      <w:r>
        <w:t xml:space="preserve">    -   INTERHOST_MOVEOUT_TRIGGERED</w:t>
      </w:r>
    </w:p>
    <w:p>
      <w:pPr>
        <w:pStyle w:val="CodeChangeLine"/>
        <w:tabs>
          <w:tab w:pos="567" w:val="left"/>
          <w:tab w:pos="1134" w:val="left"/>
          <w:tab w:pos="1247" w:val="left"/>
        </w:tabs>
        <w:shd w:val="clear" w:color="auto" w:fill="ecfdf0"/>
      </w:pPr>
      <w:r>
        <w:rPr>
          <w:color w:val="BFBFBF"/>
          <w:shd w:val="clear" w:color="auto" w:fill="#ddfbe6"/>
        </w:rPr>
        <w:tab/>
        <w:t>22</w:t>
        <w:tab/>
        <w:t>+</w:t>
        <w:tab/>
      </w:r>
      <w:r>
        <w:t xml:space="preserve">    -   INTERHOST_MOVEOUT_COMPLETED</w:t>
      </w:r>
    </w:p>
    <w:p>
      <w:pPr>
        <w:pStyle w:val="CodeChangeLine"/>
        <w:tabs>
          <w:tab w:pos="567" w:val="left"/>
          <w:tab w:pos="1134" w:val="left"/>
          <w:tab w:pos="1247" w:val="left"/>
        </w:tabs>
        <w:shd w:val="clear" w:color="auto" w:fill="ecfdf0"/>
      </w:pPr>
      <w:r>
        <w:rPr>
          <w:color w:val="BFBFBF"/>
          <w:shd w:val="clear" w:color="auto" w:fill="#ddfbe6"/>
        </w:rPr>
        <w:tab/>
        <w:t>23</w:t>
        <w:tab/>
        <w:t>+</w:t>
        <w:tab/>
      </w:r>
      <w:r>
        <w:t xml:space="preserve">    -   INTERHOST_MOVEOUT_FAILED</w:t>
      </w:r>
    </w:p>
    <w:p>
      <w:pPr>
        <w:pStyle w:val="CodeChangeLine"/>
        <w:tabs>
          <w:tab w:pos="567" w:val="left"/>
          <w:tab w:pos="1134" w:val="left"/>
          <w:tab w:pos="1247" w:val="left"/>
        </w:tabs>
        <w:shd w:val="clear" w:color="auto" w:fill="ecfdf0"/>
      </w:pPr>
      <w:r>
        <w:rPr>
          <w:color w:val="BFBFBF"/>
          <w:shd w:val="clear" w:color="auto" w:fill="#ddfbe6"/>
        </w:rPr>
        <w:tab/>
        <w:t>24</w:t>
        <w:tab/>
        <w:t>+</w:t>
        <w:tab/>
      </w:r>
      <w:r/>
    </w:p>
    <w:p>
      <w:pPr>
        <w:pStyle w:val="CodeChangeLine"/>
        <w:tabs>
          <w:tab w:pos="567" w:val="left"/>
          <w:tab w:pos="1134" w:val="left"/>
          <w:tab w:pos="1247" w:val="left"/>
        </w:tabs>
        <w:shd w:val="clear" w:color="auto" w:fill="ecfdf0"/>
      </w:pPr>
      <w:r>
        <w:rPr>
          <w:color w:val="BFBFBF"/>
          <w:shd w:val="clear" w:color="auto" w:fill="#ddfbe6"/>
        </w:rPr>
        <w:tab/>
        <w:t>25</w:t>
        <w:tab/>
        <w:t>+</w:t>
        <w:tab/>
      </w:r>
      <w:r>
        <w:t>&lt;mark&gt; AMS queries adjacentAppInstances to find target MEC platform. How are adjacentAppInstances discovered?  &lt;/mark&gt;</w:t>
      </w:r>
    </w:p>
    <w:p>
      <w:pPr>
        <w:pStyle w:val="CodeChangeLine"/>
        <w:tabs>
          <w:tab w:pos="567" w:val="left"/>
          <w:tab w:pos="1134" w:val="left"/>
          <w:tab w:pos="1247" w:val="left"/>
        </w:tabs>
        <w:shd w:val="clear" w:color="auto" w:fill="ecfdf0"/>
      </w:pPr>
      <w:r>
        <w:rPr>
          <w:color w:val="BFBFBF"/>
          <w:shd w:val="clear" w:color="auto" w:fill="#ddfbe6"/>
        </w:rPr>
        <w:tab/>
        <w:t>26</w:t>
        <w:tab/>
        <w:t>+</w:t>
        <w:tab/>
      </w:r>
      <w:r/>
    </w:p>
    <w:p>
      <w:pPr>
        <w:pStyle w:val="CodeChangeLine"/>
        <w:tabs>
          <w:tab w:pos="567" w:val="left"/>
          <w:tab w:pos="1134" w:val="left"/>
          <w:tab w:pos="1247" w:val="left"/>
        </w:tabs>
        <w:shd w:val="clear" w:color="auto" w:fill="ecfdf0"/>
      </w:pPr>
      <w:r>
        <w:rPr>
          <w:color w:val="BFBFBF"/>
          <w:shd w:val="clear" w:color="auto" w:fill="#ddfbe6"/>
        </w:rPr>
        <w:tab/>
        <w:t>27</w:t>
        <w:tab/>
        <w:t>+</w:t>
        <w:tab/>
      </w:r>
      <w:r>
        <w:t>The AMS API provides a REST query for adjacent instances. A consumer issues an HTTP GET to the /queries/adjacent_app_instances endpoint (e.g. GET {apiRoot}/amsi/v1/queries/adjacent_app_instances). According to clause 8.8.3 of MEC 021 v3.1.1, this returns HTTP 200 with a JSON array of AdjacentAppInstanceInfo objects.</w:t>
      </w:r>
    </w:p>
    <w:p>
      <w:pPr>
        <w:pStyle w:val="CodeChangeLine"/>
        <w:tabs>
          <w:tab w:pos="567" w:val="left"/>
          <w:tab w:pos="1134" w:val="left"/>
          <w:tab w:pos="1247" w:val="left"/>
        </w:tabs>
        <w:shd w:val="clear" w:color="auto" w:fill="ecfdf0"/>
      </w:pPr>
      <w:r>
        <w:rPr>
          <w:color w:val="BFBFBF"/>
          <w:shd w:val="clear" w:color="auto" w:fill="#ddfbe6"/>
        </w:rPr>
        <w:tab/>
        <w:t>28</w:t>
        <w:tab/>
        <w:t>+</w:t>
        <w:tab/>
      </w:r>
      <w:r/>
    </w:p>
    <w:p>
      <w:pPr>
        <w:pStyle w:val="CodeChangeLine"/>
        <w:tabs>
          <w:tab w:pos="567" w:val="left"/>
          <w:tab w:pos="1134" w:val="left"/>
          <w:tab w:pos="1247" w:val="left"/>
        </w:tabs>
        <w:shd w:val="clear" w:color="auto" w:fill="ecfdf0"/>
      </w:pPr>
      <w:r>
        <w:rPr>
          <w:color w:val="BFBFBF"/>
          <w:shd w:val="clear" w:color="auto" w:fill="#ddfbe6"/>
        </w:rPr>
        <w:tab/>
        <w:t>29</w:t>
        <w:tab/>
        <w:t>+</w:t>
        <w:tab/>
      </w:r>
      <w:r>
        <w:t>&lt;mark&gt; ACTOR (TBD) sends &amp;lt;TriggerRequest&gt; to AE through MN-CSE1 **analyze for update to &amp;lt;TriggerRequest&gt; resource** &lt;/mark&gt;</w:t>
      </w:r>
    </w:p>
    <w:p>
      <w:pPr>
        <w:pStyle w:val="CodeChangeLine"/>
        <w:tabs>
          <w:tab w:pos="567" w:val="left"/>
          <w:tab w:pos="1134" w:val="left"/>
          <w:tab w:pos="1247" w:val="left"/>
        </w:tabs>
        <w:shd w:val="clear" w:color="auto" w:fill="ecfdf0"/>
      </w:pPr>
      <w:r>
        <w:rPr>
          <w:color w:val="BFBFBF"/>
          <w:shd w:val="clear" w:color="auto" w:fill="#ddfbe6"/>
        </w:rPr>
        <w:tab/>
        <w:t>30</w:t>
        <w:tab/>
        <w:t>+</w:t>
        <w:tab/>
      </w:r>
      <w:r/>
    </w:p>
    <w:p>
      <w:pPr>
        <w:pStyle w:val="CodeChangeLine"/>
        <w:tabs>
          <w:tab w:pos="567" w:val="left"/>
          <w:tab w:pos="1134" w:val="left"/>
          <w:tab w:pos="1247" w:val="left"/>
        </w:tabs>
        <w:shd w:val="clear" w:color="auto" w:fill="ecfdf0"/>
      </w:pPr>
      <w:r>
        <w:rPr>
          <w:color w:val="BFBFBF"/>
          <w:shd w:val="clear" w:color="auto" w:fill="#ddfbe6"/>
        </w:rPr>
        <w:tab/>
        <w:t>31</w:t>
        <w:tab/>
        <w:t>+</w:t>
        <w:tab/>
      </w:r>
      <w:r>
        <w:t>&lt;mark&gt; MN-CSE initiates re-registration with target MN-CSE. The re-registration process uses the oneM2M &amp;lt;trigger&gt; resource&lt;/mark&gt;</w:t>
      </w:r>
    </w:p>
    <w:p>
      <w:pPr>
        <w:pStyle w:val="CodeChangeLine"/>
        <w:tabs>
          <w:tab w:pos="567" w:val="left"/>
          <w:tab w:pos="1134" w:val="left"/>
          <w:tab w:pos="1247" w:val="left"/>
        </w:tabs>
        <w:shd w:val="clear" w:color="auto" w:fill="ecfdf0"/>
      </w:pPr>
      <w:r>
        <w:rPr>
          <w:color w:val="BFBFBF"/>
          <w:shd w:val="clear" w:color="auto" w:fill="#ddfbe6"/>
        </w:rPr>
        <w:tab/>
        <w:t>32</w:t>
        <w:tab/>
        <w:t>+</w:t>
        <w:tab/>
      </w:r>
      <w:r/>
    </w:p>
    <w:p>
      <w:pPr>
        <w:pStyle w:val="CodeChangeLine"/>
        <w:tabs>
          <w:tab w:pos="567" w:val="left"/>
          <w:tab w:pos="1134" w:val="left"/>
          <w:tab w:pos="1247" w:val="left"/>
        </w:tabs>
        <w:shd w:val="clear" w:color="auto" w:fill="ecfdf0"/>
      </w:pPr>
      <w:r>
        <w:rPr>
          <w:color w:val="BFBFBF"/>
          <w:shd w:val="clear" w:color="auto" w:fill="#ddfbe6"/>
        </w:rPr>
        <w:tab/>
        <w:t>33</w:t>
        <w:tab/>
        <w:t>+</w:t>
        <w:tab/>
      </w:r>
      <w:r>
        <w:t>&lt;mark&gt; MN-CSE migrates subscriptions and data to target MN-CSE. **New oneM2M feature** &lt;/mark&gt;</w:t>
      </w:r>
    </w:p>
    <w:p>
      <w:pPr>
        <w:pStyle w:val="CodeChangeLine"/>
        <w:tabs>
          <w:tab w:pos="567" w:val="left"/>
          <w:tab w:pos="1134" w:val="left"/>
          <w:tab w:pos="1247" w:val="left"/>
        </w:tabs>
        <w:shd w:val="clear" w:color="auto" w:fill="ecfdf0"/>
      </w:pPr>
      <w:r>
        <w:rPr>
          <w:color w:val="BFBFBF"/>
          <w:shd w:val="clear" w:color="auto" w:fill="#ddfbe6"/>
        </w:rPr>
        <w:tab/>
        <w:t>34</w:t>
        <w:tab/>
        <w:t>+</w:t>
        <w:tab/>
      </w:r>
      <w:r/>
    </w:p>
    <w:p>
      <w:pPr>
        <w:pStyle w:val="CodeChangeLine"/>
        <w:tabs>
          <w:tab w:pos="567" w:val="left"/>
          <w:tab w:pos="1134" w:val="left"/>
          <w:tab w:pos="1247" w:val="left"/>
        </w:tabs>
        <w:shd w:val="clear" w:color="auto" w:fill="ecfdf0"/>
      </w:pPr>
      <w:r>
        <w:rPr>
          <w:color w:val="BFBFBF"/>
          <w:shd w:val="clear" w:color="auto" w:fill="#ddfbe6"/>
        </w:rPr>
        <w:tab/>
        <w:t>35</w:t>
        <w:tab/>
        <w:t>+</w:t>
        <w:tab/>
      </w:r>
      <w:r>
        <w:t>&lt;mark&gt; When handover is in progress the data generated by the device needs to be buffered to avoid data loss. **Updated CMDH feature** &lt;/mark&gt;</w:t>
      </w:r>
    </w:p>
    <w:p>
      <w:pPr>
        <w:pStyle w:val="CodeChangeLine"/>
        <w:tabs>
          <w:tab w:pos="567" w:val="left"/>
          <w:tab w:pos="1134" w:val="left"/>
          <w:tab w:pos="1247" w:val="left"/>
        </w:tabs>
        <w:shd w:val="clear" w:color="auto" w:fill="ecfdf0"/>
      </w:pPr>
      <w:r>
        <w:rPr>
          <w:color w:val="BFBFBF"/>
          <w:shd w:val="clear" w:color="auto" w:fill="#ddfbe6"/>
        </w:rPr>
        <w:tab/>
        <w:t>36</w:t>
        <w:tab/>
        <w:t>+</w:t>
        <w:tab/>
      </w:r>
      <w:r/>
    </w:p>
    <w:p>
      <w:pPr>
        <w:pStyle w:val="CodeChangeLine"/>
        <w:tabs>
          <w:tab w:pos="567" w:val="left"/>
          <w:tab w:pos="1134" w:val="left"/>
          <w:tab w:pos="1247" w:val="left"/>
        </w:tabs>
        <w:shd w:val="clear" w:color="auto" w:fill="ecfdf0"/>
      </w:pPr>
      <w:r>
        <w:rPr>
          <w:color w:val="BFBFBF"/>
          <w:shd w:val="clear" w:color="auto" w:fill="#ddfbe6"/>
        </w:rPr>
        <w:tab/>
        <w:t>37</w:t>
        <w:tab/>
        <w:t>+</w:t>
        <w:tab/>
      </w:r>
      <w:r>
        <w:t>**Suggestion:** My Suggestion is that it would be better if Device first connects with new MN-cse then disconnect with previous MN-CSE this way we can avoid data loss plus we might not need to store data on device as well.</w:t>
      </w:r>
    </w:p>
    <w:p>
      <w:pPr>
        <w:pStyle w:val="CodeChangeLine"/>
        <w:tabs>
          <w:tab w:pos="567" w:val="left"/>
          <w:tab w:pos="1134" w:val="left"/>
          <w:tab w:pos="1247" w:val="left"/>
        </w:tabs>
        <w:shd w:val="clear" w:color="auto" w:fill="ecfdf0"/>
      </w:pPr>
      <w:r>
        <w:rPr>
          <w:color w:val="BFBFBF"/>
          <w:shd w:val="clear" w:color="auto" w:fill="#ddfbe6"/>
        </w:rPr>
        <w:tab/>
        <w:t>38</w:t>
        <w:tab/>
        <w:t>+</w:t>
        <w:tab/>
      </w:r>
      <w:r/>
    </w:p>
    <w:p>
      <w:pPr>
        <w:pStyle w:val="CodeChangeLine"/>
        <w:tabs>
          <w:tab w:pos="567" w:val="left"/>
          <w:tab w:pos="1134" w:val="left"/>
          <w:tab w:pos="1247" w:val="left"/>
        </w:tabs>
        <w:shd w:val="clear" w:color="auto" w:fill="ecfdf0"/>
      </w:pPr>
      <w:r>
        <w:rPr>
          <w:color w:val="BFBFBF"/>
          <w:shd w:val="clear" w:color="auto" w:fill="#ddfbe6"/>
        </w:rPr>
        <w:tab/>
        <w:t>39</w:t>
        <w:tab/>
        <w:t>+</w:t>
        <w:tab/>
      </w:r>
      <w:r/>
    </w:p>
    <w:p>
      <w:pPr>
        <w:pStyle w:val="CodeChangeLine"/>
        <w:tabs>
          <w:tab w:pos="567" w:val="left"/>
          <w:tab w:pos="1134" w:val="left"/>
          <w:tab w:pos="1247" w:val="left"/>
        </w:tabs>
        <w:shd w:val="clear" w:color="auto" w:fill="ecfdf0"/>
      </w:pPr>
      <w:r>
        <w:rPr>
          <w:color w:val="BFBFBF"/>
          <w:shd w:val="clear" w:color="auto" w:fill="#ddfbe6"/>
        </w:rPr>
        <w:tab/>
        <w:t>40</w:t>
        <w:tab/>
        <w:t>+</w:t>
        <w:tab/>
      </w:r>
      <w:r>
        <w:t>&lt;mark&gt; Is the process dependent on UE performing the handover or can the **network** initiate the handover or **CSE** or **MEC**? This could be 4 possible solutions. &lt;/mark&gt;</w:t>
      </w:r>
    </w:p>
    <w:p>
      <w:pPr>
        <w:pStyle w:val="CodeChangeLine"/>
        <w:tabs>
          <w:tab w:pos="567" w:val="left"/>
          <w:tab w:pos="1134" w:val="left"/>
          <w:tab w:pos="1247" w:val="left"/>
        </w:tabs>
        <w:shd w:val="clear" w:color="auto" w:fill="ecfdf0"/>
      </w:pPr>
      <w:r>
        <w:rPr>
          <w:color w:val="BFBFBF"/>
          <w:shd w:val="clear" w:color="auto" w:fill="#ddfbe6"/>
        </w:rPr>
        <w:tab/>
        <w:t>41</w:t>
        <w:tab/>
        <w:t>+</w:t>
        <w:tab/>
      </w:r>
      <w:r/>
    </w:p>
    <w:p>
      <w:pPr>
        <w:pStyle w:val="CodeChangeLine"/>
        <w:tabs>
          <w:tab w:pos="567" w:val="left"/>
          <w:tab w:pos="1134" w:val="left"/>
          <w:tab w:pos="1247" w:val="left"/>
        </w:tabs>
        <w:shd w:val="clear" w:color="auto" w:fill="ecfdf0"/>
      </w:pPr>
      <w:r>
        <w:rPr>
          <w:color w:val="BFBFBF"/>
          <w:shd w:val="clear" w:color="auto" w:fill="#ddfbe6"/>
        </w:rPr>
        <w:tab/>
        <w:t>42</w:t>
        <w:tab/>
        <w:t>+</w:t>
        <w:tab/>
      </w:r>
      <w:r/>
    </w:p>
    <w:p>
      <w:pPr>
        <w:pStyle w:val="CodeChangeLine"/>
        <w:tabs>
          <w:tab w:pos="567" w:val="left"/>
          <w:tab w:pos="1134" w:val="left"/>
          <w:tab w:pos="1247" w:val="left"/>
        </w:tabs>
        <w:shd w:val="clear" w:color="auto" w:fill="ecfdf0"/>
      </w:pPr>
      <w:r>
        <w:rPr>
          <w:color w:val="BFBFBF"/>
          <w:shd w:val="clear" w:color="auto" w:fill="#ddfbe6"/>
        </w:rPr>
        <w:tab/>
        <w:t>43</w:t>
        <w:tab/>
        <w:t>+</w:t>
        <w:tab/>
      </w:r>
      <w:r/>
    </w:p>
    <w:p>
      <w:pPr>
        <w:pStyle w:val="CodeChangeLine"/>
        <w:tabs>
          <w:tab w:pos="567" w:val="left"/>
          <w:tab w:pos="1134" w:val="left"/>
          <w:tab w:pos="1247" w:val="left"/>
        </w:tabs>
        <w:shd w:val="clear" w:color="auto" w:fill="ecfdf0"/>
      </w:pPr>
      <w:r>
        <w:rPr>
          <w:color w:val="BFBFBF"/>
          <w:shd w:val="clear" w:color="auto" w:fill="#ddfbe6"/>
        </w:rPr>
        <w:tab/>
        <w:t>44</w:t>
        <w:tab/>
        <w:t>+</w:t>
        <w:tab/>
      </w:r>
      <w:r>
        <w:t>### **Table – Handover Methods using oneM2M and ETSI MEC**</w:t>
      </w:r>
    </w:p>
    <w:p>
      <w:pPr>
        <w:pStyle w:val="CodeChangeLine"/>
        <w:tabs>
          <w:tab w:pos="567" w:val="left"/>
          <w:tab w:pos="1134" w:val="left"/>
          <w:tab w:pos="1247" w:val="left"/>
        </w:tabs>
        <w:shd w:val="clear" w:color="auto" w:fill="ecfdf0"/>
      </w:pPr>
      <w:r>
        <w:rPr>
          <w:color w:val="BFBFBF"/>
          <w:shd w:val="clear" w:color="auto" w:fill="#ddfbe6"/>
        </w:rPr>
        <w:tab/>
        <w:t>45</w:t>
        <w:tab/>
        <w:t>+</w:t>
        <w:tab/>
      </w:r>
      <w:r/>
    </w:p>
    <w:p>
      <w:pPr>
        <w:pStyle w:val="CodeChangeLine"/>
        <w:tabs>
          <w:tab w:pos="567" w:val="left"/>
          <w:tab w:pos="1134" w:val="left"/>
          <w:tab w:pos="1247" w:val="left"/>
        </w:tabs>
        <w:shd w:val="clear" w:color="auto" w:fill="ecfdf0"/>
      </w:pPr>
      <w:r>
        <w:rPr>
          <w:color w:val="BFBFBF"/>
          <w:shd w:val="clear" w:color="auto" w:fill="#ddfbe6"/>
        </w:rPr>
        <w:tab/>
        <w:t>46</w:t>
        <w:tab/>
        <w:t>+</w:t>
        <w:tab/>
      </w:r>
      <w:r>
        <w:t>| **#** | **Method**                                              | **Trigger / Decision Point**                                 | **MEC Services Used**                                        | **oneM2M Features Used**                                     | **Typical Use Case**                                      |</w:t>
      </w:r>
    </w:p>
    <w:p>
      <w:pPr>
        <w:pStyle w:val="CodeChangeLine"/>
        <w:tabs>
          <w:tab w:pos="567" w:val="left"/>
          <w:tab w:pos="1134" w:val="left"/>
          <w:tab w:pos="1247" w:val="left"/>
        </w:tabs>
        <w:shd w:val="clear" w:color="auto" w:fill="ecfdf0"/>
      </w:pPr>
      <w:r>
        <w:rPr>
          <w:color w:val="BFBFBF"/>
          <w:shd w:val="clear" w:color="auto" w:fill="#ddfbe6"/>
        </w:rPr>
        <w:tab/>
        <w:t>47</w:t>
        <w:tab/>
        <w:t>+</w:t>
        <w:tab/>
      </w:r>
      <w:r>
        <w:t>| ----- | ------------------------------------------------------- | ------------------------------------------------------------ | ------------------------------------------------------------ | ------------------------------------------------------------ | --------------------------------------------------------- |</w:t>
      </w:r>
    </w:p>
    <w:p>
      <w:pPr>
        <w:pStyle w:val="CodeChangeLine"/>
        <w:tabs>
          <w:tab w:pos="567" w:val="left"/>
          <w:tab w:pos="1134" w:val="left"/>
          <w:tab w:pos="1247" w:val="left"/>
        </w:tabs>
        <w:shd w:val="clear" w:color="auto" w:fill="ecfdf0"/>
      </w:pPr>
      <w:r>
        <w:rPr>
          <w:color w:val="BFBFBF"/>
          <w:shd w:val="clear" w:color="auto" w:fill="#ddfbe6"/>
        </w:rPr>
        <w:tab/>
        <w:t>48</w:t>
        <w:tab/>
        <w:t>+</w:t>
        <w:tab/>
      </w:r>
      <w:r>
        <w:t>| **1** | **Core-Network-Initiated Handover (Network-Assisted)**  | Triggered by 3GPP core (AMF/SMF) mobility event; MEC notified of context change. | MEC 011 (Location Service), MEC 021/024 (Mobility APIs)      | `remoteCSE` migration, AE re-registration                    | Seamless transition between cells under operator control. |</w:t>
      </w:r>
    </w:p>
    <w:p>
      <w:pPr>
        <w:pStyle w:val="CodeChangeLine"/>
        <w:tabs>
          <w:tab w:pos="567" w:val="left"/>
          <w:tab w:pos="1134" w:val="left"/>
          <w:tab w:pos="1247" w:val="left"/>
        </w:tabs>
        <w:shd w:val="clear" w:color="auto" w:fill="ecfdf0"/>
      </w:pPr>
      <w:r>
        <w:rPr>
          <w:color w:val="BFBFBF"/>
          <w:shd w:val="clear" w:color="auto" w:fill="#ddfbe6"/>
        </w:rPr>
        <w:tab/>
        <w:t>49</w:t>
        <w:tab/>
        <w:t>+</w:t>
        <w:tab/>
      </w:r>
      <w:r>
        <w:t>| **2** | **Signal-Quality-Triggered Handover (Edge-Assisted)**   | Detected link degradation (RSSI, SINR, latency).             | MEC 012 (Performance Measurement), vendor telemetry          | `MgmtObj` or `flexContainer` for link metrics, AE re-registration | Edge-based mobility for IoT sensors or moving vehicles.   |</w:t>
      </w:r>
    </w:p>
    <w:p>
      <w:pPr>
        <w:pStyle w:val="CodeChangeLine"/>
        <w:tabs>
          <w:tab w:pos="567" w:val="left"/>
          <w:tab w:pos="1134" w:val="left"/>
          <w:tab w:pos="1247" w:val="left"/>
        </w:tabs>
        <w:shd w:val="clear" w:color="auto" w:fill="ecfdf0"/>
      </w:pPr>
      <w:r>
        <w:rPr>
          <w:color w:val="BFBFBF"/>
          <w:shd w:val="clear" w:color="auto" w:fill="#ddfbe6"/>
        </w:rPr>
        <w:tab/>
        <w:t>50</w:t>
        <w:tab/>
        <w:t>+</w:t>
        <w:tab/>
      </w:r>
      <w:r>
        <w:t>| **3** | **Load-Balancing-Based Handover (Orchestrator-Driven)** | MEC Orchestrator detects resource imbalance.                 | MEC 010-2 (Orchestration API), MEC 012 (Performance metrics) | Orchestration AE, `remoteCSE` mapping, AE migration          | Distribute workload across MEC hosts or MN-CSEs.          |</w:t>
      </w:r>
    </w:p>
    <w:p>
      <w:pPr>
        <w:pStyle w:val="CodeChangeLine"/>
        <w:tabs>
          <w:tab w:pos="567" w:val="left"/>
          <w:tab w:pos="1134" w:val="left"/>
          <w:tab w:pos="1247" w:val="left"/>
        </w:tabs>
        <w:shd w:val="clear" w:color="auto" w:fill="ecfdf0"/>
      </w:pPr>
      <w:r>
        <w:rPr>
          <w:color w:val="BFBFBF"/>
          <w:shd w:val="clear" w:color="auto" w:fill="#ddfbe6"/>
        </w:rPr>
        <w:tab/>
        <w:t>51</w:t>
        <w:tab/>
        <w:t>+</w:t>
        <w:tab/>
      </w:r>
      <w:r>
        <w:t>| **4** | **Device-Initiated Handover (Autonomous Device)**       | Device policy or ML model detects poor link or high latency. | MEC 012 (RNIS, QoS info)                                     | Embedded AE with policy/ML logic, `MgmtCmd` trigger          | Smart UE or gateway with local intelligence.              |</w:t>
      </w:r>
    </w:p>
    <w:p>
      <w:pPr>
        <w:pStyle w:val="CodeChangeLine"/>
        <w:tabs>
          <w:tab w:pos="567" w:val="left"/>
          <w:tab w:pos="1134" w:val="left"/>
          <w:tab w:pos="1247" w:val="left"/>
        </w:tabs>
        <w:shd w:val="clear" w:color="auto" w:fill="ecfdf0"/>
      </w:pPr>
      <w:r>
        <w:rPr>
          <w:color w:val="BFBFBF"/>
          <w:shd w:val="clear" w:color="auto" w:fill="#ddfbe6"/>
        </w:rPr>
        <w:tab/>
        <w:t>52</w:t>
        <w:tab/>
        <w:t>+</w:t>
        <w:tab/>
      </w:r>
      <w:r>
        <w:t>| **5** | **Policy-Driven Handover (CMDH Integration)**           | Network policy or QoS rule triggers migration.               | MEC 010-2 (Orchestration APIs)                               | CMDH `MgmtObj` / `PolicySet`                                 | Rule-based switching based on SLA or QoS targets.         |</w:t>
      </w:r>
    </w:p>
    <w:p>
      <w:pPr>
        <w:pStyle w:val="CodeChangeLine"/>
        <w:tabs>
          <w:tab w:pos="567" w:val="left"/>
          <w:tab w:pos="1134" w:val="left"/>
          <w:tab w:pos="1247" w:val="left"/>
        </w:tabs>
        <w:shd w:val="clear" w:color="auto" w:fill="ecfdf0"/>
      </w:pPr>
      <w:r>
        <w:rPr>
          <w:color w:val="BFBFBF"/>
          <w:shd w:val="clear" w:color="auto" w:fill="#ddfbe6"/>
        </w:rPr>
        <w:tab/>
        <w:t>53</w:t>
        <w:tab/>
        <w:t>+</w:t>
        <w:tab/>
      </w:r>
      <w:r>
        <w:t>| **6** | **Collaborative Multi-Access Handover (Cross-Radio)**   | One radio link degrades; session moved to another interface (BLE/Wi-Fi/DECT-NR+). | Multi-Access MEC APIs (custom IPE)                           | Multi-access IPE AE, persistent AE session                   | IoT gateways with heterogeneous radio access              |</w:t>
      </w:r>
    </w:p>
    <w:p>
      <w:pPr>
        <w:pStyle w:val="CodeChangeLine"/>
        <w:tabs>
          <w:tab w:pos="567" w:val="left"/>
          <w:tab w:pos="1134" w:val="left"/>
          <w:tab w:pos="1247" w:val="left"/>
        </w:tabs>
        <w:shd w:val="clear" w:color="auto" w:fill="ecfdf0"/>
      </w:pPr>
      <w:r>
        <w:rPr>
          <w:color w:val="BFBFBF"/>
          <w:shd w:val="clear" w:color="auto" w:fill="#ddfbe6"/>
        </w:rPr>
        <w:tab/>
        <w:t>54</w:t>
        <w:tab/>
        <w:t>+</w:t>
        <w:tab/>
      </w:r>
      <w:r/>
    </w:p>
    <w:p>
      <w:pPr>
        <w:pStyle w:val="CodeChangeLine"/>
        <w:tabs>
          <w:tab w:pos="567" w:val="left"/>
          <w:tab w:pos="1134" w:val="left"/>
          <w:tab w:pos="1247" w:val="left"/>
        </w:tabs>
        <w:shd w:val="clear" w:color="auto" w:fill="ecfdf0"/>
      </w:pPr>
      <w:r>
        <w:rPr>
          <w:color w:val="BFBFBF"/>
          <w:shd w:val="clear" w:color="auto" w:fill="#ddfbe6"/>
        </w:rPr>
        <w:tab/>
        <w:t>55</w:t>
        <w:tab/>
        <w:t>+</w:t>
        <w:tab/>
      </w:r>
      <w:r>
        <w:t>**Fig 7.2.1-1 Handover of IoT devices**</w:t>
      </w:r>
    </w:p>
    <w:p>
      <w:pPr>
        <w:pStyle w:val="CodeChangeLine"/>
        <w:tabs>
          <w:tab w:pos="567" w:val="left"/>
          <w:tab w:pos="1134" w:val="left"/>
          <w:tab w:pos="1247" w:val="left"/>
        </w:tabs>
        <w:shd w:val="clear" w:color="auto" w:fill="ecfdf0"/>
      </w:pPr>
      <w:r>
        <w:rPr>
          <w:color w:val="BFBFBF"/>
          <w:shd w:val="clear" w:color="auto" w:fill="#ddfbe6"/>
        </w:rPr>
        <w:tab/>
        <w:t>56</w:t>
        <w:tab/>
        <w:t>+</w:t>
        <w:tab/>
      </w:r>
      <w:r/>
    </w:p>
    <w:p>
      <w:pPr>
        <w:pStyle w:val="CodeChangeLine"/>
        <w:tabs>
          <w:tab w:pos="567" w:val="left"/>
          <w:tab w:pos="1134" w:val="left"/>
          <w:tab w:pos="1247" w:val="left"/>
        </w:tabs>
        <w:shd w:val="clear" w:color="auto" w:fill="ecfdf0"/>
      </w:pPr>
      <w:r>
        <w:rPr>
          <w:color w:val="BFBFBF"/>
          <w:shd w:val="clear" w:color="auto" w:fill="#ddfbe6"/>
        </w:rPr>
        <w:tab/>
        <w:t>57</w:t>
        <w:tab/>
        <w:t>+</w:t>
        <w:tab/>
      </w:r>
      <w:r>
        <w:t>![Fig 7.2.1-2](media/Handover_snsdemo.png)</w:t>
      </w:r>
    </w:p>
    <w:p>
      <w:pPr>
        <w:pStyle w:val="CodeChangeLine"/>
        <w:tabs>
          <w:tab w:pos="567" w:val="left"/>
          <w:tab w:pos="1134" w:val="left"/>
          <w:tab w:pos="1247" w:val="left"/>
        </w:tabs>
        <w:shd w:val="clear" w:color="auto" w:fill="ecfdf0"/>
      </w:pPr>
      <w:r>
        <w:rPr>
          <w:color w:val="BFBFBF"/>
          <w:shd w:val="clear" w:color="auto" w:fill="#ddfbe6"/>
        </w:rPr>
        <w:tab/>
        <w:t>58</w:t>
        <w:tab/>
        <w:t>+</w:t>
        <w:tab/>
      </w:r>
      <w:r/>
    </w:p>
    <w:p>
      <w:pPr>
        <w:pStyle w:val="CodeChangeLine"/>
        <w:tabs>
          <w:tab w:pos="567" w:val="left"/>
          <w:tab w:pos="1134" w:val="left"/>
          <w:tab w:pos="1247" w:val="left"/>
        </w:tabs>
        <w:shd w:val="clear" w:color="auto" w:fill="ecfdf0"/>
      </w:pPr>
      <w:r>
        <w:rPr>
          <w:color w:val="BFBFBF"/>
          <w:shd w:val="clear" w:color="auto" w:fill="#ddfbe6"/>
        </w:rPr>
        <w:tab/>
        <w:t>59</w:t>
        <w:tab/>
        <w:t>+</w:t>
        <w:tab/>
      </w:r>
      <w:r>
        <w:t>**Fig 7.2.1-2 Figure for demo we are plaining for sns**</w:t>
      </w:r>
    </w:p>
    <w:p>
      <w:pPr>
        <w:pStyle w:val="CodeChangeLine"/>
        <w:tabs>
          <w:tab w:pos="567" w:val="left"/>
          <w:tab w:pos="1134" w:val="left"/>
          <w:tab w:pos="1247" w:val="left"/>
        </w:tabs>
        <w:shd w:val="clear" w:color="auto" w:fill="ecfdf0"/>
      </w:pPr>
      <w:r>
        <w:rPr>
          <w:color w:val="BFBFBF"/>
          <w:shd w:val="clear" w:color="auto" w:fill="#ddfbe6"/>
        </w:rPr>
        <w:tab/>
        <w:t>60</w:t>
        <w:tab/>
        <w:t>+</w:t>
        <w:tab/>
      </w:r>
      <w:r/>
    </w:p>
    <w:p>
      <w:pPr>
        <w:pStyle w:val="CodeChangeLine"/>
        <w:tabs>
          <w:tab w:pos="567" w:val="left"/>
          <w:tab w:pos="1134" w:val="left"/>
          <w:tab w:pos="1247" w:val="left"/>
        </w:tabs>
        <w:shd w:val="clear" w:color="auto" w:fill="ecfdf0"/>
      </w:pPr>
      <w:r>
        <w:rPr>
          <w:color w:val="BFBFBF"/>
          <w:shd w:val="clear" w:color="auto" w:fill="#ddfbe6"/>
        </w:rPr>
        <w:tab/>
        <w:t>61</w:t>
        <w:tab/>
        <w:t>+</w:t>
        <w:tab/>
      </w:r>
      <w:r>
        <w:t>&lt;mark&gt; Need to add numbers to the figure and describe the steps&lt;/mark&gt;</w:t>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---/dev/null</w:t>
        <w:br/>
        <w:t>+++b/media/7_2_MEC_based_Handover.png</w:t>
      </w:r>
    </w:p>
    <w:p>
      <w:r>
        <w:drawing>
          <wp:inline xmlns:a="http://schemas.openxmlformats.org/drawingml/2006/main" xmlns:pic="http://schemas.openxmlformats.org/drawingml/2006/picture">
            <wp:extent cx="5943600" cy="3262823"/>
            <wp:docPr id="1" name="Picture 1"/>
            <wp:cNvGraphicFramePr>
              <a:graphicFrameLocks noChangeAspect="1"/>
            </wp:cNvGraphicFramePr>
            <a:graphic>
              <a:graphicData uri="http://schemas.openxmlformats.org/drawingml/2006/picture">
                <pic:pic>
                  <pic:nvPicPr>
                    <pic:cNvPr id="1" name="image.png"/>
                    <pic:cNvPicPr/>
                  </pic:nvPicPr>
                  <pic:blipFill>
                    <a:blip r:embed="rId13"/>
                    <a:stretch>
                      <a:fillRect/>
                    </a:stretch>
                  </pic:blipFill>
                  <pic:spPr>
                    <a:xfrm>
                      <a:off x="0" y="0"/>
                      <a:ext cx="5943600" cy="3262823"/>
                    </a:xfrm>
                    <a:prstGeom prst="rect"/>
                  </pic:spPr>
                </pic:pic>
              </a:graphicData>
            </a:graphic>
          </wp:inline>
        </w:drawing>
      </w:r>
    </w:p>
    <w:p>
      <w:pPr>
        <w:pStyle w:val="Code"/>
      </w:pPr>
    </w:p>
    <w:p>
      <w:pPr>
        <w:pStyle w:val="CodeHeader"/>
      </w:pPr>
      <w:r>
        <w:t>---/dev/null</w:t>
        <w:br/>
        <w:t>+++b/media/Handover_snsdemo.png</w:t>
      </w:r>
    </w:p>
    <w:p>
      <w:r>
        <w:drawing>
          <wp:inline xmlns:a="http://schemas.openxmlformats.org/drawingml/2006/main" xmlns:pic="http://schemas.openxmlformats.org/drawingml/2006/picture">
            <wp:extent cx="5943600" cy="3196949"/>
            <wp:docPr id="2" name="Picture 1"/>
            <wp:cNvGraphicFramePr>
              <a:graphicFrameLocks noChangeAspect="1"/>
            </wp:cNvGraphicFramePr>
            <a:graphic>
              <a:graphicData uri="http://schemas.openxmlformats.org/drawingml/2006/picture">
                <pic:pic>
                  <pic:nvPicPr>
                    <pic:cNvPr id="2" name="image.png"/>
                    <pic:cNvPicPr/>
                  </pic:nvPicPr>
                  <pic:blipFill>
                    <a:blip r:embed="rId14"/>
                    <a:stretch>
                      <a:fillRect/>
                    </a:stretch>
                  </pic:blipFill>
                  <pic:spPr>
                    <a:xfrm>
                      <a:off x="0" y="0"/>
                      <a:ext cx="5943600" cy="3196949"/>
                    </a:xfrm>
                    <a:prstGeom prst="rect"/>
                  </pic:spPr>
                </pic:pic>
              </a:graphicData>
            </a:graphic>
          </wp:inline>
        </w:drawing>
      </w:r>
    </w:p>
    <w:p>
      <w:pPr>
        <w:pStyle w:val="Code"/>
      </w:pPr>
    </w:p>
    <w:p>
      <w:pPr>
        <w:pStyle w:val="CodeHeader"/>
      </w:pPr>
      <w:r>
        <w:t>---/dev/null</w:t>
        <w:br/>
        <w:t>+++b/media/VM_architecture.png</w:t>
      </w:r>
    </w:p>
    <w:p>
      <w:r>
        <w:drawing>
          <wp:inline xmlns:a="http://schemas.openxmlformats.org/drawingml/2006/main" xmlns:pic="http://schemas.openxmlformats.org/drawingml/2006/picture">
            <wp:extent cx="5943600" cy="1509936"/>
            <wp:docPr id="3" name="Picture 1"/>
            <wp:cNvGraphicFramePr>
              <a:graphicFrameLocks noChangeAspect="1"/>
            </wp:cNvGraphicFramePr>
            <a:graphic>
              <a:graphicData uri="http://schemas.openxmlformats.org/drawingml/2006/picture">
                <pic:pic>
                  <pic:nvPicPr>
                    <pic:cNvPr id="3" name="image.png"/>
                    <pic:cNvPicPr/>
                  </pic:nvPicPr>
                  <pic:blipFill>
                    <a:blip r:embed="rId15"/>
                    <a:stretch>
                      <a:fillRect/>
                    </a:stretch>
                  </pic:blipFill>
                  <pic:spPr>
                    <a:xfrm>
                      <a:off x="0" y="0"/>
                      <a:ext cx="5943600" cy="1509936"/>
                    </a:xfrm>
                    <a:prstGeom prst="rect"/>
                  </pic:spPr>
                </pic:pic>
              </a:graphicData>
            </a:graphic>
          </wp:inline>
        </w:drawing>
      </w:r>
    </w:p>
    <w:p>
      <w:pPr>
        <w:pStyle w:val="Code"/>
      </w:pPr>
    </w:p>
    <w:p>
      <w:pPr>
        <w:pStyle w:val="CodeHeader"/>
      </w:pPr>
      <w:r>
        <w:t>---/dev/null</w:t>
        <w:br/>
        <w:t>+++b/media/handover_7_2_1.png</w:t>
      </w:r>
    </w:p>
    <w:p>
      <w:r>
        <w:drawing>
          <wp:inline xmlns:a="http://schemas.openxmlformats.org/drawingml/2006/main" xmlns:pic="http://schemas.openxmlformats.org/drawingml/2006/picture">
            <wp:extent cx="5943600" cy="7372220"/>
            <wp:docPr id="4" name="Picture 1"/>
            <wp:cNvGraphicFramePr>
              <a:graphicFrameLocks noChangeAspect="1"/>
            </wp:cNvGraphicFramePr>
            <a:graphic>
              <a:graphicData uri="http://schemas.openxmlformats.org/drawingml/2006/picture">
                <pic:pic>
                  <pic:nvPicPr>
                    <pic:cNvPr id="4" name="image.png"/>
                    <pic:cNvPicPr/>
                  </pic:nvPicPr>
                  <pic:blipFill>
                    <a:blip r:embed="rId16"/>
                    <a:stretch>
                      <a:fillRect/>
                    </a:stretch>
                  </pic:blipFill>
                  <pic:spPr>
                    <a:xfrm>
                      <a:off x="0" y="0"/>
                      <a:ext cx="5943600" cy="7372220"/>
                    </a:xfrm>
                    <a:prstGeom prst="rect"/>
                  </pic:spPr>
                </pic:pic>
              </a:graphicData>
            </a:graphic>
          </wp:inline>
        </w:drawing>
      </w:r>
    </w:p>
    <w:p>
      <w:pPr>
        <w:pStyle w:val="Code"/>
      </w:pPr>
    </w:p>
    <w:p>
      <w:pPr>
        <w:pStyle w:val="CodeHeader"/>
      </w:pPr>
      <w:r>
        <w:t>---/dev/null</w:t>
        <w:br/>
        <w:t>+++b/media/handover_7_2_1_1.png</w:t>
      </w:r>
    </w:p>
    <w:p>
      <w:r>
        <w:drawing>
          <wp:inline xmlns:a="http://schemas.openxmlformats.org/drawingml/2006/main" xmlns:pic="http://schemas.openxmlformats.org/drawingml/2006/picture">
            <wp:extent cx="5943600" cy="4317059"/>
            <wp:docPr id="5" name="Picture 1"/>
            <wp:cNvGraphicFramePr>
              <a:graphicFrameLocks noChangeAspect="1"/>
            </wp:cNvGraphicFramePr>
            <a:graphic>
              <a:graphicData uri="http://schemas.openxmlformats.org/drawingml/2006/picture">
                <pic:pic>
                  <pic:nvPicPr>
                    <pic:cNvPr id="5" name="image.png"/>
                    <pic:cNvPicPr/>
                  </pic:nvPicPr>
                  <pic:blipFill>
                    <a:blip r:embed="rId17"/>
                    <a:stretch>
                      <a:fillRect/>
                    </a:stretch>
                  </pic:blipFill>
                  <pic:spPr>
                    <a:xfrm>
                      <a:off x="0" y="0"/>
                      <a:ext cx="5943600" cy="4317059"/>
                    </a:xfrm>
                    <a:prstGeom prst="rect"/>
                  </pic:spPr>
                </pic:pic>
              </a:graphicData>
            </a:graphic>
          </wp:inline>
        </w:drawing>
      </w:r>
    </w:p>
    <w:p>
      <w:pPr>
        <w:pStyle w:val="Code"/>
      </w:pPr>
    </w:p>
    <w:p>
      <w:pPr>
        <w:pStyle w:val="CodeHeader"/>
      </w:pPr>
      <w:r>
        <w:t>---/dev/null</w:t>
        <w:br/>
        <w:t>+++b/media/handover_7_2_1_2.png</w:t>
      </w:r>
    </w:p>
    <w:p>
      <w:r>
        <w:drawing>
          <wp:inline xmlns:a="http://schemas.openxmlformats.org/drawingml/2006/main" xmlns:pic="http://schemas.openxmlformats.org/drawingml/2006/picture">
            <wp:extent cx="5943600" cy="4794396"/>
            <wp:docPr id="6" name="Picture 1"/>
            <wp:cNvGraphicFramePr>
              <a:graphicFrameLocks noChangeAspect="1"/>
            </wp:cNvGraphicFramePr>
            <a:graphic>
              <a:graphicData uri="http://schemas.openxmlformats.org/drawingml/2006/picture">
                <pic:pic>
                  <pic:nvPicPr>
                    <pic:cNvPr id="6" name="image.png"/>
                    <pic:cNvPicPr/>
                  </pic:nvPicPr>
                  <pic:blipFill>
                    <a:blip r:embed="rId18"/>
                    <a:stretch>
                      <a:fillRect/>
                    </a:stretch>
                  </pic:blipFill>
                  <pic:spPr>
                    <a:xfrm>
                      <a:off x="0" y="0"/>
                      <a:ext cx="5943600" cy="4794396"/>
                    </a:xfrm>
                    <a:prstGeom prst="rect"/>
                  </pic:spPr>
                </pic:pic>
              </a:graphicData>
            </a:graphic>
          </wp:inline>
        </w:drawing>
      </w:r>
    </w:p>
    <w:p>
      <w:pPr>
        <w:pStyle w:val="Code"/>
      </w:pPr>
    </w:p>
    <w:p>
      <w:pPr>
        <w:pStyle w:val="CodeHeader"/>
      </w:pPr>
      <w:r>
        <w:t>---/dev/null</w:t>
        <w:br/>
        <w:t>+++b/media/handover_7_2_1_3.png</w:t>
      </w:r>
    </w:p>
    <w:p>
      <w:r>
        <w:drawing>
          <wp:inline xmlns:a="http://schemas.openxmlformats.org/drawingml/2006/main" xmlns:pic="http://schemas.openxmlformats.org/drawingml/2006/picture">
            <wp:extent cx="5943600" cy="4043362"/>
            <wp:docPr id="7" name="Picture 1"/>
            <wp:cNvGraphicFramePr>
              <a:graphicFrameLocks noChangeAspect="1"/>
            </wp:cNvGraphicFramePr>
            <a:graphic>
              <a:graphicData uri="http://schemas.openxmlformats.org/drawingml/2006/picture">
                <pic:pic>
                  <pic:nvPicPr>
                    <pic:cNvPr id="7" name="image.png"/>
                    <pic:cNvPicPr/>
                  </pic:nvPicPr>
                  <pic:blipFill>
                    <a:blip r:embed="rId19"/>
                    <a:stretch>
                      <a:fillRect/>
                    </a:stretch>
                  </pic:blipFill>
                  <pic:spPr>
                    <a:xfrm>
                      <a:off x="0" y="0"/>
                      <a:ext cx="5943600" cy="4043362"/>
                    </a:xfrm>
                    <a:prstGeom prst="rect"/>
                  </pic:spPr>
                </pic:pic>
              </a:graphicData>
            </a:graphic>
          </wp:inline>
        </w:drawing>
      </w:r>
    </w:p>
    <w:p>
      <w:pPr>
        <w:pStyle w:val="Code"/>
      </w:pPr>
    </w:p>
    <w:p>
      <w:pPr>
        <w:pStyle w:val="CodeHeader"/>
      </w:pPr>
      <w:r>
        <w:t>---/dev/null</w:t>
        <w:br/>
        <w:t>+++b/media/handover_7_2_1_4.png</w:t>
      </w:r>
    </w:p>
    <w:p>
      <w:r>
        <w:drawing>
          <wp:inline xmlns:a="http://schemas.openxmlformats.org/drawingml/2006/main" xmlns:pic="http://schemas.openxmlformats.org/drawingml/2006/picture">
            <wp:extent cx="5943600" cy="5280916"/>
            <wp:docPr id="8" name="Picture 1"/>
            <wp:cNvGraphicFramePr>
              <a:graphicFrameLocks noChangeAspect="1"/>
            </wp:cNvGraphicFramePr>
            <a:graphic>
              <a:graphicData uri="http://schemas.openxmlformats.org/drawingml/2006/picture">
                <pic:pic>
                  <pic:nvPicPr>
                    <pic:cNvPr id="8" name="image.png"/>
                    <pic:cNvPicPr/>
                  </pic:nvPicPr>
                  <pic:blipFill>
                    <a:blip r:embed="rId20"/>
                    <a:stretch>
                      <a:fillRect/>
                    </a:stretch>
                  </pic:blipFill>
                  <pic:spPr>
                    <a:xfrm>
                      <a:off x="0" y="0"/>
                      <a:ext cx="5943600" cy="5280916"/>
                    </a:xfrm>
                    <a:prstGeom prst="rect"/>
                  </pic:spPr>
                </pic:pic>
              </a:graphicData>
            </a:graphic>
          </wp:inline>
        </w:drawing>
      </w:r>
    </w:p>
    <w:p>
      <w:pPr>
        <w:pStyle w:val="Code"/>
      </w:pPr>
    </w:p>
    <w:p>
      <w:pPr>
        <w:pStyle w:val="CodeHeader"/>
      </w:pPr>
      <w:r>
        <w:t>---/dev/null</w:t>
        <w:br/>
        <w:t>+++b/media/handover_7_2_1_5.png</w:t>
      </w:r>
    </w:p>
    <w:p>
      <w:r>
        <w:drawing>
          <wp:inline xmlns:a="http://schemas.openxmlformats.org/drawingml/2006/main" xmlns:pic="http://schemas.openxmlformats.org/drawingml/2006/picture">
            <wp:extent cx="5943600" cy="5174332"/>
            <wp:docPr id="9" name="Picture 1"/>
            <wp:cNvGraphicFramePr>
              <a:graphicFrameLocks noChangeAspect="1"/>
            </wp:cNvGraphicFramePr>
            <a:graphic>
              <a:graphicData uri="http://schemas.openxmlformats.org/drawingml/2006/picture">
                <pic:pic>
                  <pic:nvPicPr>
                    <pic:cNvPr id="9" name="image.png"/>
                    <pic:cNvPicPr/>
                  </pic:nvPicPr>
                  <pic:blipFill>
                    <a:blip r:embed="rId21"/>
                    <a:stretch>
                      <a:fillRect/>
                    </a:stretch>
                  </pic:blipFill>
                  <pic:spPr>
                    <a:xfrm>
                      <a:off x="0" y="0"/>
                      <a:ext cx="5943600" cy="5174332"/>
                    </a:xfrm>
                    <a:prstGeom prst="rect"/>
                  </pic:spPr>
                </pic:pic>
              </a:graphicData>
            </a:graphic>
          </wp:inline>
        </w:drawing>
      </w:r>
    </w:p>
    <w:p>
      <w:pPr>
        <w:pStyle w:val="Code"/>
      </w:pPr>
    </w:p>
    <w:p>
      <w:pPr>
        <w:pStyle w:val="CodeHeader"/>
      </w:pPr>
      <w:r>
        <w:t>---/dev/null</w:t>
        <w:br/>
        <w:t>+++b/media/handover_7_2_1_6.png</w:t>
      </w:r>
    </w:p>
    <w:p>
      <w:r>
        <w:drawing>
          <wp:inline xmlns:a="http://schemas.openxmlformats.org/drawingml/2006/main" xmlns:pic="http://schemas.openxmlformats.org/drawingml/2006/picture">
            <wp:extent cx="5943600" cy="3513761"/>
            <wp:docPr id="10" name="Picture 1"/>
            <wp:cNvGraphicFramePr>
              <a:graphicFrameLocks noChangeAspect="1"/>
            </wp:cNvGraphicFramePr>
            <a:graphic>
              <a:graphicData uri="http://schemas.openxmlformats.org/drawingml/2006/picture">
                <pic:pic>
                  <pic:nvPicPr>
                    <pic:cNvPr id="10" name="image.png"/>
                    <pic:cNvPicPr/>
                  </pic:nvPicPr>
                  <pic:blipFill>
                    <a:blip r:embed="rId22"/>
                    <a:stretch>
                      <a:fillRect/>
                    </a:stretch>
                  </pic:blipFill>
                  <pic:spPr>
                    <a:xfrm>
                      <a:off x="0" y="0"/>
                      <a:ext cx="5943600" cy="3513761"/>
                    </a:xfrm>
                    <a:prstGeom prst="rect"/>
                  </pic:spPr>
                </pic:pic>
              </a:graphicData>
            </a:graphic>
          </wp:inline>
        </w:drawing>
      </w:r>
    </w:p>
    <w:p>
      <w:pPr>
        <w:pStyle w:val="Code"/>
      </w:pPr>
    </w:p>
    <w:p>
      <w:pPr>
        <w:pStyle w:val="CodeHeader"/>
      </w:pPr>
      <w:r>
        <w:t>---/dev/null</w:t>
        <w:br/>
        <w:t>+++b/media/handover_7_2_2_1.png</w:t>
      </w:r>
    </w:p>
    <w:p>
      <w:r>
        <w:drawing>
          <wp:inline xmlns:a="http://schemas.openxmlformats.org/drawingml/2006/main" xmlns:pic="http://schemas.openxmlformats.org/drawingml/2006/picture">
            <wp:extent cx="5943600" cy="4802113"/>
            <wp:docPr id="11" name="Picture 1"/>
            <wp:cNvGraphicFramePr>
              <a:graphicFrameLocks noChangeAspect="1"/>
            </wp:cNvGraphicFramePr>
            <a:graphic>
              <a:graphicData uri="http://schemas.openxmlformats.org/drawingml/2006/picture">
                <pic:pic>
                  <pic:nvPicPr>
                    <pic:cNvPr id="11" name="image.png"/>
                    <pic:cNvPicPr/>
                  </pic:nvPicPr>
                  <pic:blipFill>
                    <a:blip r:embed="rId23"/>
                    <a:stretch>
                      <a:fillRect/>
                    </a:stretch>
                  </pic:blipFill>
                  <pic:spPr>
                    <a:xfrm>
                      <a:off x="0" y="0"/>
                      <a:ext cx="5943600" cy="4802113"/>
                    </a:xfrm>
                    <a:prstGeom prst="rect"/>
                  </pic:spPr>
                </pic:pic>
              </a:graphicData>
            </a:graphic>
          </wp:inline>
        </w:drawing>
      </w:r>
    </w:p>
    <w:p>
      <w:pPr>
        <w:pStyle w:val="Code"/>
      </w:pPr>
    </w:p>
    <w:p>
      <w:pPr>
        <w:pStyle w:val="CodeHeader"/>
      </w:pPr>
      <w:r>
        <w:t>---/dev/null</w:t>
        <w:br/>
        <w:t>+++b/media/handover_7_2_2_2.png</w:t>
      </w:r>
    </w:p>
    <w:p>
      <w:r>
        <w:drawing>
          <wp:inline xmlns:a="http://schemas.openxmlformats.org/drawingml/2006/main" xmlns:pic="http://schemas.openxmlformats.org/drawingml/2006/picture">
            <wp:extent cx="5943600" cy="4582349"/>
            <wp:docPr id="12" name="Picture 1"/>
            <wp:cNvGraphicFramePr>
              <a:graphicFrameLocks noChangeAspect="1"/>
            </wp:cNvGraphicFramePr>
            <a:graphic>
              <a:graphicData uri="http://schemas.openxmlformats.org/drawingml/2006/picture">
                <pic:pic>
                  <pic:nvPicPr>
                    <pic:cNvPr id="12" name="image.png"/>
                    <pic:cNvPicPr/>
                  </pic:nvPicPr>
                  <pic:blipFill>
                    <a:blip r:embed="rId24"/>
                    <a:stretch>
                      <a:fillRect/>
                    </a:stretch>
                  </pic:blipFill>
                  <pic:spPr>
                    <a:xfrm>
                      <a:off x="0" y="0"/>
                      <a:ext cx="5943600" cy="4582349"/>
                    </a:xfrm>
                    <a:prstGeom prst="rect"/>
                  </pic:spPr>
                </pic:pic>
              </a:graphicData>
            </a:graphic>
          </wp:inline>
        </w:drawing>
      </w:r>
    </w:p>
    <w:p>
      <w:pPr>
        <w:pStyle w:val="Code"/>
      </w:pPr>
    </w:p>
    <w:p>
      <w:pPr>
        <w:pStyle w:val="CodeHeader"/>
      </w:pPr>
      <w:r>
        <w:t>---/dev/null</w:t>
        <w:br/>
        <w:t>+++b/media/handover_7_2_2_3.png</w:t>
      </w:r>
    </w:p>
    <w:p>
      <w:r>
        <w:drawing>
          <wp:inline xmlns:a="http://schemas.openxmlformats.org/drawingml/2006/main" xmlns:pic="http://schemas.openxmlformats.org/drawingml/2006/picture">
            <wp:extent cx="5943600" cy="3915783"/>
            <wp:docPr id="13" name="Picture 1"/>
            <wp:cNvGraphicFramePr>
              <a:graphicFrameLocks noChangeAspect="1"/>
            </wp:cNvGraphicFramePr>
            <a:graphic>
              <a:graphicData uri="http://schemas.openxmlformats.org/drawingml/2006/picture">
                <pic:pic>
                  <pic:nvPicPr>
                    <pic:cNvPr id="13" name="image.png"/>
                    <pic:cNvPicPr/>
                  </pic:nvPicPr>
                  <pic:blipFill>
                    <a:blip r:embed="rId25"/>
                    <a:stretch>
                      <a:fillRect/>
                    </a:stretch>
                  </pic:blipFill>
                  <pic:spPr>
                    <a:xfrm>
                      <a:off x="0" y="0"/>
                      <a:ext cx="5943600" cy="3915783"/>
                    </a:xfrm>
                    <a:prstGeom prst="rect"/>
                  </pic:spPr>
                </pic:pic>
              </a:graphicData>
            </a:graphic>
          </wp:inline>
        </w:drawing>
      </w:r>
    </w:p>
    <w:p>
      <w:pPr>
        <w:pStyle w:val="Code"/>
      </w:pPr>
    </w:p>
    <w:p>
      <w:pPr>
        <w:pStyle w:val="CodeHeader"/>
      </w:pPr>
      <w:r>
        <w:t>---/dev/null</w:t>
        <w:br/>
        <w:t>+++b/media/handover_7_2_2_4.png</w:t>
      </w:r>
    </w:p>
    <w:p>
      <w:r>
        <w:drawing>
          <wp:inline xmlns:a="http://schemas.openxmlformats.org/drawingml/2006/main" xmlns:pic="http://schemas.openxmlformats.org/drawingml/2006/picture">
            <wp:extent cx="5943599" cy="3882512"/>
            <wp:docPr id="14" name="Picture 1"/>
            <wp:cNvGraphicFramePr>
              <a:graphicFrameLocks noChangeAspect="1"/>
            </wp:cNvGraphicFramePr>
            <a:graphic>
              <a:graphicData uri="http://schemas.openxmlformats.org/drawingml/2006/picture">
                <pic:pic>
                  <pic:nvPicPr>
                    <pic:cNvPr id="14" name="image.png"/>
                    <pic:cNvPicPr/>
                  </pic:nvPicPr>
                  <pic:blipFill>
                    <a:blip r:embed="rId26"/>
                    <a:stretch>
                      <a:fillRect/>
                    </a:stretch>
                  </pic:blipFill>
                  <pic:spPr>
                    <a:xfrm>
                      <a:off x="0" y="0"/>
                      <a:ext cx="5943599" cy="3882512"/>
                    </a:xfrm>
                    <a:prstGeom prst="rect"/>
                  </pic:spPr>
                </pic:pic>
              </a:graphicData>
            </a:graphic>
          </wp:inline>
        </w:drawing>
      </w:r>
    </w:p>
    <w:p>
      <w:pPr>
        <w:pStyle w:val="Code"/>
      </w:pPr>
    </w:p>
    <w:p>
      <w:pPr>
        <w:pStyle w:val="CodeHeader"/>
      </w:pPr>
      <w:r>
        <w:t>---/dev/null</w:t>
        <w:br/>
        <w:t>+++b/media/handover_7_2_2_5.png</w:t>
      </w:r>
    </w:p>
    <w:p>
      <w:r>
        <w:drawing>
          <wp:inline xmlns:a="http://schemas.openxmlformats.org/drawingml/2006/main" xmlns:pic="http://schemas.openxmlformats.org/drawingml/2006/picture">
            <wp:extent cx="5943600" cy="5652180"/>
            <wp:docPr id="15" name="Picture 1"/>
            <wp:cNvGraphicFramePr>
              <a:graphicFrameLocks noChangeAspect="1"/>
            </wp:cNvGraphicFramePr>
            <a:graphic>
              <a:graphicData uri="http://schemas.openxmlformats.org/drawingml/2006/picture">
                <pic:pic>
                  <pic:nvPicPr>
                    <pic:cNvPr id="15" name="image.png"/>
                    <pic:cNvPicPr/>
                  </pic:nvPicPr>
                  <pic:blipFill>
                    <a:blip r:embed="rId27"/>
                    <a:stretch>
                      <a:fillRect/>
                    </a:stretch>
                  </pic:blipFill>
                  <pic:spPr>
                    <a:xfrm>
                      <a:off x="0" y="0"/>
                      <a:ext cx="5943600" cy="5652180"/>
                    </a:xfrm>
                    <a:prstGeom prst="rect"/>
                  </pic:spPr>
                </pic:pic>
              </a:graphicData>
            </a:graphic>
          </wp:inline>
        </w:drawing>
      </w:r>
    </w:p>
    <w:sectPr w:rsidR="00023407" w:rsidSect="000B7FED">
      <w:headerReference w:type="even" r:id="rId8"/>
      <w:headerReference w:type="default" r:id="rId9"/>
      <w:headerReference w:type="first" r:id="rId1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27BC7" w14:textId="77777777" w:rsidR="00E40C40" w:rsidRDefault="00E40C40">
      <w:r>
        <w:separator/>
      </w:r>
    </w:p>
  </w:endnote>
  <w:endnote w:type="continuationSeparator" w:id="0">
    <w:p w14:paraId="13DC7127" w14:textId="77777777" w:rsidR="00E40C40" w:rsidRDefault="00E40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N)">
    <w:altName w:val="SimSu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0BCEB" w14:textId="77777777" w:rsidR="00E40C40" w:rsidRDefault="00E40C40">
      <w:r>
        <w:separator/>
      </w:r>
    </w:p>
  </w:footnote>
  <w:footnote w:type="continuationSeparator" w:id="0">
    <w:p w14:paraId="2FC9B353" w14:textId="77777777" w:rsidR="00E40C40" w:rsidRDefault="00E40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23407"/>
    <w:rsid w:val="00026415"/>
    <w:rsid w:val="000A6394"/>
    <w:rsid w:val="000B7FED"/>
    <w:rsid w:val="000C038A"/>
    <w:rsid w:val="000C6598"/>
    <w:rsid w:val="000D44B3"/>
    <w:rsid w:val="001119A8"/>
    <w:rsid w:val="00145D43"/>
    <w:rsid w:val="00150212"/>
    <w:rsid w:val="00186147"/>
    <w:rsid w:val="00192C46"/>
    <w:rsid w:val="001A08B3"/>
    <w:rsid w:val="001A2CA0"/>
    <w:rsid w:val="001A7B60"/>
    <w:rsid w:val="001B52F0"/>
    <w:rsid w:val="001B7A65"/>
    <w:rsid w:val="001E3325"/>
    <w:rsid w:val="001E41F3"/>
    <w:rsid w:val="0026004D"/>
    <w:rsid w:val="002640DD"/>
    <w:rsid w:val="00266C3D"/>
    <w:rsid w:val="002727CB"/>
    <w:rsid w:val="00275D12"/>
    <w:rsid w:val="00284FEB"/>
    <w:rsid w:val="002860C4"/>
    <w:rsid w:val="002B5741"/>
    <w:rsid w:val="002E472E"/>
    <w:rsid w:val="002E7B22"/>
    <w:rsid w:val="00305409"/>
    <w:rsid w:val="003609EF"/>
    <w:rsid w:val="0036231A"/>
    <w:rsid w:val="003660BA"/>
    <w:rsid w:val="00374DD4"/>
    <w:rsid w:val="003A35FA"/>
    <w:rsid w:val="003E0B5B"/>
    <w:rsid w:val="003E1A36"/>
    <w:rsid w:val="00410371"/>
    <w:rsid w:val="00422266"/>
    <w:rsid w:val="004242F1"/>
    <w:rsid w:val="004A01BF"/>
    <w:rsid w:val="004B4927"/>
    <w:rsid w:val="004B75B7"/>
    <w:rsid w:val="0051580D"/>
    <w:rsid w:val="00547111"/>
    <w:rsid w:val="00592D74"/>
    <w:rsid w:val="005976ED"/>
    <w:rsid w:val="005A7B6A"/>
    <w:rsid w:val="005C04AA"/>
    <w:rsid w:val="005E2C44"/>
    <w:rsid w:val="00600F7C"/>
    <w:rsid w:val="00621188"/>
    <w:rsid w:val="006257ED"/>
    <w:rsid w:val="00665C47"/>
    <w:rsid w:val="006814EF"/>
    <w:rsid w:val="006904FD"/>
    <w:rsid w:val="00695808"/>
    <w:rsid w:val="006B46FB"/>
    <w:rsid w:val="006E21FB"/>
    <w:rsid w:val="007176FF"/>
    <w:rsid w:val="00754FFE"/>
    <w:rsid w:val="00792342"/>
    <w:rsid w:val="007977A8"/>
    <w:rsid w:val="007B512A"/>
    <w:rsid w:val="007C2097"/>
    <w:rsid w:val="007D6A07"/>
    <w:rsid w:val="007E19E7"/>
    <w:rsid w:val="007F7259"/>
    <w:rsid w:val="008040A8"/>
    <w:rsid w:val="008279FA"/>
    <w:rsid w:val="008626E7"/>
    <w:rsid w:val="00870EE7"/>
    <w:rsid w:val="008863B9"/>
    <w:rsid w:val="008A45A6"/>
    <w:rsid w:val="008B2B89"/>
    <w:rsid w:val="008F3789"/>
    <w:rsid w:val="008F686C"/>
    <w:rsid w:val="008F7C23"/>
    <w:rsid w:val="009148DE"/>
    <w:rsid w:val="00941E30"/>
    <w:rsid w:val="00953837"/>
    <w:rsid w:val="009777D9"/>
    <w:rsid w:val="00991B88"/>
    <w:rsid w:val="009923AF"/>
    <w:rsid w:val="009A5753"/>
    <w:rsid w:val="009A579D"/>
    <w:rsid w:val="009E3297"/>
    <w:rsid w:val="009F734F"/>
    <w:rsid w:val="00A0189E"/>
    <w:rsid w:val="00A246B6"/>
    <w:rsid w:val="00A47E70"/>
    <w:rsid w:val="00A50CF0"/>
    <w:rsid w:val="00A7671C"/>
    <w:rsid w:val="00AA2CBC"/>
    <w:rsid w:val="00AC5820"/>
    <w:rsid w:val="00AD1CD8"/>
    <w:rsid w:val="00B258BB"/>
    <w:rsid w:val="00B67B97"/>
    <w:rsid w:val="00B968C8"/>
    <w:rsid w:val="00BA3EC5"/>
    <w:rsid w:val="00BA51D9"/>
    <w:rsid w:val="00BB5DFC"/>
    <w:rsid w:val="00BD279D"/>
    <w:rsid w:val="00BD6BB8"/>
    <w:rsid w:val="00BF6D8C"/>
    <w:rsid w:val="00C66BA2"/>
    <w:rsid w:val="00C95985"/>
    <w:rsid w:val="00CC5026"/>
    <w:rsid w:val="00CC68D0"/>
    <w:rsid w:val="00CD13DA"/>
    <w:rsid w:val="00D03F9A"/>
    <w:rsid w:val="00D06D51"/>
    <w:rsid w:val="00D24991"/>
    <w:rsid w:val="00D50255"/>
    <w:rsid w:val="00D54D26"/>
    <w:rsid w:val="00D66520"/>
    <w:rsid w:val="00DE34CF"/>
    <w:rsid w:val="00DF089A"/>
    <w:rsid w:val="00E13F3D"/>
    <w:rsid w:val="00E34898"/>
    <w:rsid w:val="00E405CD"/>
    <w:rsid w:val="00E40C40"/>
    <w:rsid w:val="00EB09B7"/>
    <w:rsid w:val="00EB12EC"/>
    <w:rsid w:val="00EE7D7C"/>
    <w:rsid w:val="00F25D98"/>
    <w:rsid w:val="00F300FB"/>
    <w:rsid w:val="00FB6386"/>
    <w:rsid w:val="00FF52D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uiPriority w:val="99"/>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953837"/>
    <w:rPr>
      <w:rFonts w:ascii="Times New Roman" w:hAnsi="Times New Roman"/>
      <w:lang w:val="en-GB" w:eastAsia="en-US"/>
    </w:rPr>
  </w:style>
  <w:style w:type="character" w:customStyle="1" w:styleId="TALChar">
    <w:name w:val="TAL Char"/>
    <w:link w:val="TAL"/>
    <w:qFormat/>
    <w:locked/>
    <w:rsid w:val="00953837"/>
    <w:rPr>
      <w:rFonts w:ascii="Arial" w:hAnsi="Arial"/>
      <w:sz w:val="18"/>
      <w:lang w:val="en-GB" w:eastAsia="en-US"/>
    </w:rPr>
  </w:style>
  <w:style w:type="character" w:customStyle="1" w:styleId="TAHCar">
    <w:name w:val="TAH Car"/>
    <w:link w:val="TAH"/>
    <w:rsid w:val="00953837"/>
    <w:rPr>
      <w:rFonts w:ascii="Arial" w:hAnsi="Arial"/>
      <w:b/>
      <w:sz w:val="18"/>
      <w:lang w:val="en-GB" w:eastAsia="en-US"/>
    </w:rPr>
  </w:style>
  <w:style w:type="character" w:customStyle="1" w:styleId="THChar">
    <w:name w:val="TH Char"/>
    <w:link w:val="TH"/>
    <w:rsid w:val="00953837"/>
    <w:rPr>
      <w:rFonts w:ascii="Arial" w:hAnsi="Arial"/>
      <w:b/>
      <w:lang w:val="en-GB" w:eastAsia="en-US"/>
    </w:rPr>
  </w:style>
  <w:style w:type="character" w:customStyle="1" w:styleId="NOChar">
    <w:name w:val="NO Char"/>
    <w:link w:val="NO"/>
    <w:rsid w:val="00953837"/>
    <w:rPr>
      <w:rFonts w:ascii="Times New Roman" w:hAnsi="Times New Roman"/>
      <w:lang w:val="en-GB" w:eastAsia="en-US"/>
    </w:rPr>
  </w:style>
  <w:style w:type="character" w:customStyle="1" w:styleId="B2Char">
    <w:name w:val="B2 Char"/>
    <w:link w:val="B2"/>
    <w:uiPriority w:val="99"/>
    <w:locked/>
    <w:rsid w:val="00953837"/>
    <w:rPr>
      <w:rFonts w:ascii="Times New Roman" w:hAnsi="Times New Roman"/>
      <w:lang w:val="en-GB" w:eastAsia="en-US"/>
    </w:rPr>
  </w:style>
  <w:style w:type="paragraph" w:customStyle="1" w:styleId="Code">
    <w:name w:val="Code"/>
    <w:basedOn w:val="Normal"/>
    <w:uiPriority w:val="1"/>
    <w:qFormat/>
    <w:pPr>
      <w:spacing w:line="240" w:lineRule="auto" w:before="0" w:after="0"/>
      <w:ind w:left="0" w:firstLine="0"/>
    </w:pPr>
    <w:rPr>
      <w:rFonts w:ascii="Courier New" w:hAnsi="Courier New"/>
      <w:sz w:val="16"/>
    </w:rPr>
  </w:style>
  <w:style w:type="paragraph" w:customStyle="1" w:styleId="CodeHeader">
    <w:name w:val="CodeHeader"/>
    <w:basedOn w:val="Code"/>
  </w:style>
  <w:style w:type="paragraph" w:customStyle="1" w:styleId="CodeChangeLine">
    <w:name w:val="CodeChangeLine"/>
    <w:basedOn w:val="Code"/>
    <w:pPr>
      <w:ind w:left="1134"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801213">
      <w:bodyDiv w:val="1"/>
      <w:marLeft w:val="0"/>
      <w:marRight w:val="0"/>
      <w:marTop w:val="0"/>
      <w:marBottom w:val="0"/>
      <w:divBdr>
        <w:top w:val="none" w:sz="0" w:space="0" w:color="auto"/>
        <w:left w:val="none" w:sz="0" w:space="0" w:color="auto"/>
        <w:bottom w:val="none" w:sz="0" w:space="0" w:color="auto"/>
        <w:right w:val="none" w:sz="0" w:space="0" w:color="auto"/>
      </w:divBdr>
    </w:div>
    <w:div w:id="1561940510">
      <w:bodyDiv w:val="1"/>
      <w:marLeft w:val="0"/>
      <w:marRight w:val="0"/>
      <w:marTop w:val="0"/>
      <w:marBottom w:val="0"/>
      <w:divBdr>
        <w:top w:val="none" w:sz="0" w:space="0" w:color="auto"/>
        <w:left w:val="none" w:sz="0" w:space="0" w:color="auto"/>
        <w:bottom w:val="none" w:sz="0" w:space="0" w:color="auto"/>
        <w:right w:val="none" w:sz="0" w:space="0" w:color="auto"/>
      </w:divBdr>
    </w:div>
    <w:div w:id="1632711745">
      <w:bodyDiv w:val="1"/>
      <w:marLeft w:val="0"/>
      <w:marRight w:val="0"/>
      <w:marTop w:val="0"/>
      <w:marBottom w:val="0"/>
      <w:divBdr>
        <w:top w:val="none" w:sz="0" w:space="0" w:color="auto"/>
        <w:left w:val="none" w:sz="0" w:space="0" w:color="auto"/>
        <w:bottom w:val="none" w:sz="0" w:space="0" w:color="auto"/>
        <w:right w:val="none" w:sz="0" w:space="0" w:color="auto"/>
      </w:divBdr>
    </w:div>
    <w:div w:id="198777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naortega\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1</Pages>
  <Words>16</Words>
  <Characters>92</Characters>
  <Application>Microsoft Office Word</Application>
  <DocSecurity>0</DocSecurity>
  <Lines>1</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Bob Flynn</dc:creator>
  <cp:keywords/>
  <cp:lastModifiedBy>Miguel Angel Reina Ortega</cp:lastModifiedBy>
  <cp:revision>12</cp:revision>
  <cp:lastPrinted>1900-01-01T00:00:00Z</cp:lastPrinted>
  <dcterms:created xsi:type="dcterms:W3CDTF">2022-10-06T16:28:00Z</dcterms:created>
  <dcterms:modified xsi:type="dcterms:W3CDTF">2025-11-18T15:53:00Z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SA3</vt:lpwstr>
  </property>
  <property fmtid="{D5CDD505-2E9C-101B-9397-08002B2CF9AE}" pid="3" name="MtgSeq">
    <vt:lpwstr>84</vt:lpwstr>
  </property>
  <property fmtid="{D5CDD505-2E9C-101B-9397-08002B2CF9AE}" pid="4" name="MtgTitle">
    <vt:lpwstr>-LI-e-b</vt:lpwstr>
  </property>
  <property fmtid="{D5CDD505-2E9C-101B-9397-08002B2CF9AE}" pid="5" name="Location">
    <vt:lpwstr>Online</vt:lpwstr>
  </property>
  <property fmtid="{D5CDD505-2E9C-101B-9397-08002B2CF9AE}" pid="6" name="Country">
    <vt:lpwstr/>
  </property>
  <property fmtid="{D5CDD505-2E9C-101B-9397-08002B2CF9AE}" pid="7" name="StartDate">
    <vt:lpwstr>2nd Mar 2022</vt:lpwstr>
  </property>
  <property fmtid="{D5CDD505-2E9C-101B-9397-08002B2CF9AE}" pid="8" name="EndDate">
    <vt:lpwstr>4th Mar 2022</vt:lpwstr>
  </property>
  <property fmtid="{D5CDD505-2E9C-101B-9397-08002B2CF9AE}" pid="9" name="Tdoc#">
    <vt:lpwstr>s3i220120</vt:lpwstr>
  </property>
  <property fmtid="{D5CDD505-2E9C-101B-9397-08002B2CF9AE}" pid="10" name="Spec#">
    <vt:lpwstr>33.128</vt:lpwstr>
  </property>
  <property fmtid="{D5CDD505-2E9C-101B-9397-08002B2CF9AE}" pid="11" name="Cr#">
    <vt:lpwstr>0331</vt:lpwstr>
  </property>
  <property fmtid="{D5CDD505-2E9C-101B-9397-08002B2CF9AE}" pid="12" name="Revision">
    <vt:lpwstr>-</vt:lpwstr>
  </property>
  <property fmtid="{D5CDD505-2E9C-101B-9397-08002B2CF9AE}" pid="13" name="Version">
    <vt:lpwstr>16.9.0</vt:lpwstr>
  </property>
  <property fmtid="{D5CDD505-2E9C-101B-9397-08002B2CF9AE}" pid="14" name="CrTitle">
    <vt:lpwstr>Clarification of DNN encoding</vt:lpwstr>
  </property>
  <property fmtid="{D5CDD505-2E9C-101B-9397-08002B2CF9AE}" pid="15" name="SourceIfWg">
    <vt:lpwstr>National Technical Assistance</vt:lpwstr>
  </property>
  <property fmtid="{D5CDD505-2E9C-101B-9397-08002B2CF9AE}" pid="16" name="SourceIfTsg">
    <vt:lpwstr/>
  </property>
  <property fmtid="{D5CDD505-2E9C-101B-9397-08002B2CF9AE}" pid="17" name="RelatedWis">
    <vt:lpwstr>LI16</vt:lpwstr>
  </property>
  <property fmtid="{D5CDD505-2E9C-101B-9397-08002B2CF9AE}" pid="18" name="Cat">
    <vt:lpwstr>F</vt:lpwstr>
  </property>
  <property fmtid="{D5CDD505-2E9C-101B-9397-08002B2CF9AE}" pid="19" name="ResDate">
    <vt:lpwstr>2022-02-21</vt:lpwstr>
  </property>
  <property fmtid="{D5CDD505-2E9C-101B-9397-08002B2CF9AE}" pid="20" name="Release">
    <vt:lpwstr>Rel-16</vt:lpwstr>
  </property>
</Properties>
</file>