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v5.5.0</w:t>
      </w:r>
      <w:r w:rsidRPr="00540429">
        <w:rPr>
          <w:rFonts w:eastAsia="Malgun Gothic" w:hint="eastAsia"/>
          <w:lang w:eastAsia="ko-KR"/>
        </w:rPr>
        <w:t xml:space="preserve"> </w:t>
      </w:r>
      <w:r w:rsidR="00186147">
        <w:rPr>
          <w:rFonts w:eastAsia="Malgun Gothic"/>
          <w:lang w:eastAsia="ko-KR"/>
        </w:rPr>
        <w:t xml:space="preserve">to v5.4.0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c04fbf82a67bbc09a5f070f09e2e9e58a489049a to 9aaee7df680a1f96b06b9e3edbca79946176896c</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---a/TS-0002-oneM2M-Requirements.md</w:t>
        <w:br/>
        <w:t>+++b/TS-0002-oneM2M-Requirements.md</w:t>
      </w:r>
    </w:p>
    <w:p>
      <w:pPr>
        <w:pStyle w:val="CodeHeader"/>
      </w:pPr>
      <w:r>
        <w:t xml:space="preserve">@@ -3,9 +3,9 @@ </w:t>
      </w:r>
    </w:p>
    <w:p>
      <w:pPr>
        <w:pStyle w:val="CodeChangeLine"/>
        <w:tabs>
          <w:tab w:pos="567" w:val="left"/>
          <w:tab w:pos="1134" w:val="left"/>
          <w:tab w:pos="1247" w:val="left"/>
        </w:tabs>
      </w:pPr>
      <w:r>
        <w:rPr>
          <w:color w:val="BFBFBF"/>
          <w:shd w:val="clear" w:color="auto" w:fill="fafafa"/>
        </w:rPr>
        <w:t>3</w:t>
        <w:tab/>
        <w:t>3</w:t>
        <w:tab/>
        <w:tab/>
      </w:r>
      <w:r/>
    </w:p>
    <w:p>
      <w:pPr>
        <w:pStyle w:val="CodeChangeLine"/>
        <w:tabs>
          <w:tab w:pos="567" w:val="left"/>
          <w:tab w:pos="1134" w:val="left"/>
          <w:tab w:pos="1247" w:val="left"/>
        </w:tabs>
      </w:pPr>
      <w:r>
        <w:rPr>
          <w:color w:val="BFBFBF"/>
          <w:shd w:val="clear" w:color="auto" w:fill="fafafa"/>
        </w:rPr>
        <w:t>4</w:t>
        <w:tab/>
        <w:t>4</w:t>
        <w:tab/>
        <w:tab/>
      </w:r>
      <w:r>
        <w:t>| **oneM2M**&lt;br /&gt;**Technical Specification** | **oneM2M**&lt;br /&gt;**Technical Specification**                  |</w:t>
      </w:r>
    </w:p>
    <w:p>
      <w:pPr>
        <w:pStyle w:val="CodeChangeLine"/>
        <w:tabs>
          <w:tab w:pos="567" w:val="left"/>
          <w:tab w:pos="1134" w:val="left"/>
          <w:tab w:pos="1247" w:val="left"/>
        </w:tabs>
      </w:pPr>
      <w:r>
        <w:rPr>
          <w:color w:val="BFBFBF"/>
          <w:shd w:val="clear" w:color="auto" w:fill="fafafa"/>
        </w:rPr>
        <w:t>5</w:t>
        <w:tab/>
        <w:t>5</w:t>
        <w:tab/>
        <w:tab/>
      </w:r>
      <w:r>
        <w:t>| ------------------------------------------- | ------------------------------------------------------------ |</w:t>
      </w:r>
    </w:p>
    <w:p>
      <w:pPr>
        <w:pStyle w:val="CodeChangeLine"/>
        <w:tabs>
          <w:tab w:pos="567" w:val="left"/>
          <w:tab w:pos="1134" w:val="left"/>
          <w:tab w:pos="1247" w:val="left"/>
        </w:tabs>
        <w:shd w:val="clear" w:color="auto" w:fill="fbe9eb"/>
      </w:pPr>
      <w:r>
        <w:rPr>
          <w:color w:val="BFBFBF"/>
          <w:shd w:val="clear" w:color="auto" w:fill="#f9d7dc"/>
        </w:rPr>
        <w:t>6</w:t>
        <w:tab/>
        <w:tab/>
        <w:t>-</w:t>
        <w:tab/>
      </w:r>
      <w:r>
        <w:t>| Document Number                             | TS-0002-V5.4.0                                               |</w:t>
      </w:r>
    </w:p>
    <w:p>
      <w:pPr>
        <w:pStyle w:val="CodeChangeLine"/>
        <w:tabs>
          <w:tab w:pos="567" w:val="left"/>
          <w:tab w:pos="1134" w:val="left"/>
          <w:tab w:pos="1247" w:val="left"/>
        </w:tabs>
        <w:shd w:val="clear" w:color="auto" w:fill="ecfdf0"/>
      </w:pPr>
      <w:r>
        <w:rPr>
          <w:color w:val="BFBFBF"/>
          <w:shd w:val="clear" w:color="auto" w:fill="#ddfbe6"/>
        </w:rPr>
        <w:tab/>
        <w:t>6</w:t>
        <w:tab/>
        <w:t>+</w:t>
        <w:tab/>
      </w:r>
      <w:r>
        <w:t>| Document Number                             | TS-0002-V5.5.0                                               |</w:t>
      </w:r>
    </w:p>
    <w:p>
      <w:pPr>
        <w:pStyle w:val="CodeChangeLine"/>
        <w:tabs>
          <w:tab w:pos="567" w:val="left"/>
          <w:tab w:pos="1134" w:val="left"/>
          <w:tab w:pos="1247" w:val="left"/>
        </w:tabs>
      </w:pPr>
      <w:r>
        <w:rPr>
          <w:color w:val="BFBFBF"/>
          <w:shd w:val="clear" w:color="auto" w:fill="fafafa"/>
        </w:rPr>
        <w:t>7</w:t>
        <w:tab/>
        <w:t>7</w:t>
        <w:tab/>
        <w:tab/>
      </w:r>
      <w:r>
        <w:t>| Document Name:                              | Requirements                                                 |</w:t>
      </w:r>
    </w:p>
    <w:p>
      <w:pPr>
        <w:pStyle w:val="CodeChangeLine"/>
        <w:tabs>
          <w:tab w:pos="567" w:val="left"/>
          <w:tab w:pos="1134" w:val="left"/>
          <w:tab w:pos="1247" w:val="left"/>
        </w:tabs>
        <w:shd w:val="clear" w:color="auto" w:fill="fbe9eb"/>
      </w:pPr>
      <w:r>
        <w:rPr>
          <w:color w:val="BFBFBF"/>
          <w:shd w:val="clear" w:color="auto" w:fill="#f9d7dc"/>
        </w:rPr>
        <w:t>8</w:t>
        <w:tab/>
        <w:tab/>
        <w:t>-</w:t>
        <w:tab/>
      </w:r>
      <w:r>
        <w:t>| Date:                                       | 2024-11-21                                                   |</w:t>
      </w:r>
    </w:p>
    <w:p>
      <w:pPr>
        <w:pStyle w:val="CodeChangeLine"/>
        <w:tabs>
          <w:tab w:pos="567" w:val="left"/>
          <w:tab w:pos="1134" w:val="left"/>
          <w:tab w:pos="1247" w:val="left"/>
        </w:tabs>
        <w:shd w:val="clear" w:color="auto" w:fill="ecfdf0"/>
      </w:pPr>
      <w:r>
        <w:rPr>
          <w:color w:val="BFBFBF"/>
          <w:shd w:val="clear" w:color="auto" w:fill="#ddfbe6"/>
        </w:rPr>
        <w:tab/>
        <w:t>8</w:t>
        <w:tab/>
        <w:t>+</w:t>
        <w:tab/>
      </w:r>
      <w:r>
        <w:t>| Date:                                       | 2025-11-06                                                   |</w:t>
      </w:r>
    </w:p>
    <w:p>
      <w:pPr>
        <w:pStyle w:val="CodeChangeLine"/>
        <w:tabs>
          <w:tab w:pos="567" w:val="left"/>
          <w:tab w:pos="1134" w:val="left"/>
          <w:tab w:pos="1247" w:val="left"/>
        </w:tabs>
      </w:pPr>
      <w:r>
        <w:rPr>
          <w:color w:val="BFBFBF"/>
          <w:shd w:val="clear" w:color="auto" w:fill="fafafa"/>
        </w:rPr>
        <w:t>9</w:t>
        <w:tab/>
        <w:t>9</w:t>
        <w:tab/>
        <w:tab/>
      </w:r>
      <w:r>
        <w:t>| Abstract:                                   | The present document contains an informative functional role model and normative technical requirements for oneM2M. |</w:t>
      </w:r>
    </w:p>
    <w:p>
      <w:pPr>
        <w:pStyle w:val="CodeChangeLine"/>
        <w:tabs>
          <w:tab w:pos="567" w:val="left"/>
          <w:tab w:pos="1134" w:val="left"/>
          <w:tab w:pos="1247" w:val="left"/>
        </w:tabs>
      </w:pPr>
      <w:r>
        <w:rPr>
          <w:color w:val="BFBFBF"/>
          <w:shd w:val="clear" w:color="auto" w:fill="fafafa"/>
        </w:rPr>
        <w:t>10</w:t>
        <w:tab/>
        <w:t>10</w:t>
        <w:tab/>
        <w:tab/>
      </w:r>
      <w:r/>
    </w:p>
    <w:p>
      <w:pPr>
        <w:pStyle w:val="CodeChangeLine"/>
        <w:tabs>
          <w:tab w:pos="567" w:val="left"/>
          <w:tab w:pos="1134" w:val="left"/>
          <w:tab w:pos="1247" w:val="left"/>
        </w:tabs>
      </w:pPr>
      <w:r>
        <w:rPr>
          <w:color w:val="BFBFBF"/>
          <w:shd w:val="clear" w:color="auto" w:fill="fafafa"/>
        </w:rPr>
        <w:t>11</w:t>
        <w:tab/>
        <w:t>11</w:t>
        <w:tab/>
        <w:tab/>
      </w:r>
      <w:r>
        <w:t>This Specification is provided for future development work within oneM2M only. The Partners accept no liability for any use of this Specification.</w:t>
      </w:r>
    </w:p>
    <w:p>
      <w:pPr>
        <w:pStyle w:val="CodeHeader"/>
      </w:pPr>
      <w:r>
        <w:t xml:space="preserve">@@ -400,6 +400,15 @@ </w:t>
      </w:r>
    </w:p>
    <w:p>
      <w:pPr>
        <w:pStyle w:val="CodeChangeLine"/>
        <w:tabs>
          <w:tab w:pos="567" w:val="left"/>
          <w:tab w:pos="1134" w:val="left"/>
          <w:tab w:pos="1247" w:val="left"/>
        </w:tabs>
      </w:pPr>
      <w:r>
        <w:rPr>
          <w:color w:val="BFBFBF"/>
          <w:shd w:val="clear" w:color="auto" w:fill="fafafa"/>
        </w:rPr>
        <w:t>400</w:t>
        <w:tab/>
        <w:t>400</w:t>
        <w:tab/>
        <w:tab/>
      </w:r>
      <w:r>
        <w:t>|OSR-235&lt;br /&gt;See RDM-2023-0011R01 |The oneM2M system shall be able to support the creation and management of classifiers for AI/ML applications as follows:&lt;br /&gt;Predefined-classifier function comes with a predefined and pretrained classifier for object detection, object tracking, semantic segmentation,instance segmentation, etc. from data generated by IoT devices (e.g., smart city camera). (Note 25) |Rel-5 |</w:t>
      </w:r>
    </w:p>
    <w:p>
      <w:pPr>
        <w:pStyle w:val="CodeChangeLine"/>
        <w:tabs>
          <w:tab w:pos="567" w:val="left"/>
          <w:tab w:pos="1134" w:val="left"/>
          <w:tab w:pos="1247" w:val="left"/>
        </w:tabs>
      </w:pPr>
      <w:r>
        <w:rPr>
          <w:color w:val="BFBFBF"/>
          <w:shd w:val="clear" w:color="auto" w:fill="fafafa"/>
        </w:rPr>
        <w:t>401</w:t>
        <w:tab/>
        <w:t>401</w:t>
        <w:tab/>
        <w:tab/>
      </w:r>
      <w:r>
        <w:t>|OSR-236&lt;br /&gt;See RDM-2023-0012R01 |The oneM2M System shall be able to distinguish the data set that will be trained and has already been trained. |Rel-5 |</w:t>
      </w:r>
    </w:p>
    <w:p>
      <w:pPr>
        <w:pStyle w:val="CodeChangeLine"/>
        <w:tabs>
          <w:tab w:pos="567" w:val="left"/>
          <w:tab w:pos="1134" w:val="left"/>
          <w:tab w:pos="1247" w:val="left"/>
        </w:tabs>
      </w:pPr>
      <w:r>
        <w:rPr>
          <w:color w:val="BFBFBF"/>
          <w:shd w:val="clear" w:color="auto" w:fill="fafafa"/>
        </w:rPr>
        <w:t>402</w:t>
        <w:tab/>
        <w:t>402</w:t>
        <w:tab/>
        <w:tab/>
      </w:r>
      <w:r>
        <w:t>|OSR-237&lt;br /&gt;See RDM-2023-0012R01 |The oneM2M System shall be able to provide automated machine learning applications under certain conditions, e.g., building a model every week or when the number of datasets reaches 100. |Rel-5 |</w:t>
      </w:r>
    </w:p>
    <w:p>
      <w:pPr>
        <w:pStyle w:val="CodeChangeLine"/>
        <w:tabs>
          <w:tab w:pos="567" w:val="left"/>
          <w:tab w:pos="1134" w:val="left"/>
          <w:tab w:pos="1247" w:val="left"/>
        </w:tabs>
        <w:shd w:val="clear" w:color="auto" w:fill="ecfdf0"/>
      </w:pPr>
      <w:r>
        <w:rPr>
          <w:color w:val="BFBFBF"/>
          <w:shd w:val="clear" w:color="auto" w:fill="#ddfbe6"/>
        </w:rPr>
        <w:tab/>
        <w:t>403</w:t>
        <w:tab/>
        <w:t>+</w:t>
        <w:tab/>
      </w:r>
      <w:r>
        <w:t>|OSR-238&lt;br /&gt;See RDM-2025-0074R01 |The oneM2M system shall be able to support dynamic resource offloading from the cloud to edge nodes based on a device's location, with seamless resource exchange facilitated among cloud IoT platforms (incl. from different service providers), between cloud and edge IoT platforms, and among edge IoT platforms to ensure uninterrupted service across different domains. |Rel-5 |</w:t>
      </w:r>
    </w:p>
    <w:p>
      <w:pPr>
        <w:pStyle w:val="CodeChangeLine"/>
        <w:tabs>
          <w:tab w:pos="567" w:val="left"/>
          <w:tab w:pos="1134" w:val="left"/>
          <w:tab w:pos="1247" w:val="left"/>
        </w:tabs>
        <w:shd w:val="clear" w:color="auto" w:fill="ecfdf0"/>
      </w:pPr>
      <w:r>
        <w:rPr>
          <w:color w:val="BFBFBF"/>
          <w:shd w:val="clear" w:color="auto" w:fill="#ddfbe6"/>
        </w:rPr>
        <w:tab/>
        <w:t>404</w:t>
        <w:tab/>
        <w:t>+</w:t>
        <w:tab/>
      </w:r>
      <w:r>
        <w:t>|OSR-239&lt;br /&gt;See RDM-2025-0074R01 |The oneM2M system shall be able to ensure the continuity of related resources and tasks, providing a seamless service experience as a device with oneM2M application moves across different geographical zones. |Rel-5 |</w:t>
      </w:r>
    </w:p>
    <w:p>
      <w:pPr>
        <w:pStyle w:val="CodeChangeLine"/>
        <w:tabs>
          <w:tab w:pos="567" w:val="left"/>
          <w:tab w:pos="1134" w:val="left"/>
          <w:tab w:pos="1247" w:val="left"/>
        </w:tabs>
        <w:shd w:val="clear" w:color="auto" w:fill="ecfdf0"/>
      </w:pPr>
      <w:r>
        <w:rPr>
          <w:color w:val="BFBFBF"/>
          <w:shd w:val="clear" w:color="auto" w:fill="#ddfbe6"/>
        </w:rPr>
        <w:tab/>
        <w:t>405</w:t>
        <w:tab/>
        <w:t>+</w:t>
        <w:tab/>
      </w:r>
      <w:r>
        <w:t>|OSR-240&lt;br /&gt;See RDM-2025-0075R01 |The oneM2M system shall be able to facilitate hybrid data sharing and a dedicated service function for swarm computing, supporting both direct peer-to-peer (P2P) resource exchange among swarm members, orchestration among swarm members and hierarchical synchronization with edge IoT platforms for broader coordination across multiple swarm related zones (e.g., geographic zones where several swarm members are located). |Rel-5 |</w:t>
      </w:r>
    </w:p>
    <w:p>
      <w:pPr>
        <w:pStyle w:val="CodeChangeLine"/>
        <w:tabs>
          <w:tab w:pos="567" w:val="left"/>
          <w:tab w:pos="1134" w:val="left"/>
          <w:tab w:pos="1247" w:val="left"/>
        </w:tabs>
        <w:shd w:val="clear" w:color="auto" w:fill="ecfdf0"/>
      </w:pPr>
      <w:r>
        <w:rPr>
          <w:color w:val="BFBFBF"/>
          <w:shd w:val="clear" w:color="auto" w:fill="#ddfbe6"/>
        </w:rPr>
        <w:tab/>
        <w:t>406</w:t>
        <w:tab/>
        <w:t>+</w:t>
        <w:tab/>
      </w:r>
      <w:r>
        <w:t>|OSR-241&lt;br /&gt;See RDM-2025-0075R01 |The oneM2M system shall ensure the integrity and confidentiality of distributed data and resources used for swarm computing functionality by providing robust security and privacy mechanisms. |Rel-5 |</w:t>
      </w:r>
    </w:p>
    <w:p>
      <w:pPr>
        <w:pStyle w:val="CodeChangeLine"/>
        <w:tabs>
          <w:tab w:pos="567" w:val="left"/>
          <w:tab w:pos="1134" w:val="left"/>
          <w:tab w:pos="1247" w:val="left"/>
        </w:tabs>
        <w:shd w:val="clear" w:color="auto" w:fill="ecfdf0"/>
      </w:pPr>
      <w:r>
        <w:rPr>
          <w:color w:val="BFBFBF"/>
          <w:shd w:val="clear" w:color="auto" w:fill="#ddfbe6"/>
        </w:rPr>
        <w:tab/>
        <w:t>407</w:t>
        <w:tab/>
        <w:t>+</w:t>
        <w:tab/>
      </w:r>
      <w:r>
        <w:t>|OSR-242&lt;br /&gt;See RDM-2025-0075R01 |The oneM2M system shall be able to support the management of swarm-type P2P applications, enabling the dynamic creation and updating of application-specific resources (e.g., local navigation map) based on real-time data from edge platforms (e.g., ETSI MEC platform). |Rel-5 |</w:t>
      </w:r>
    </w:p>
    <w:p>
      <w:pPr>
        <w:pStyle w:val="CodeChangeLine"/>
        <w:tabs>
          <w:tab w:pos="567" w:val="left"/>
          <w:tab w:pos="1134" w:val="left"/>
          <w:tab w:pos="1247" w:val="left"/>
        </w:tabs>
        <w:shd w:val="clear" w:color="auto" w:fill="ecfdf0"/>
      </w:pPr>
      <w:r>
        <w:rPr>
          <w:color w:val="BFBFBF"/>
          <w:shd w:val="clear" w:color="auto" w:fill="#ddfbe6"/>
        </w:rPr>
        <w:tab/>
        <w:t>408</w:t>
        <w:tab/>
        <w:t>+</w:t>
        <w:tab/>
      </w:r>
      <w:r>
        <w:t>|OSR-243&lt;br /&gt;See RDM-2025-0075R01 |The oneM2M system shall be able to provide a mechanism for efficiently discover, connect, and handle handovers of moving swarm entities between CSEs to ensure seamless data exchange. |Rel-5 |</w:t>
      </w:r>
    </w:p>
    <w:p>
      <w:pPr>
        <w:pStyle w:val="CodeChangeLine"/>
        <w:tabs>
          <w:tab w:pos="567" w:val="left"/>
          <w:tab w:pos="1134" w:val="left"/>
          <w:tab w:pos="1247" w:val="left"/>
        </w:tabs>
        <w:shd w:val="clear" w:color="auto" w:fill="ecfdf0"/>
      </w:pPr>
      <w:r>
        <w:rPr>
          <w:color w:val="BFBFBF"/>
          <w:shd w:val="clear" w:color="auto" w:fill="#ddfbe6"/>
        </w:rPr>
        <w:tab/>
        <w:t>409</w:t>
        <w:tab/>
        <w:t>+</w:t>
        <w:tab/>
      </w:r>
      <w:r/>
    </w:p>
    <w:p>
      <w:pPr>
        <w:pStyle w:val="CodeChangeLine"/>
        <w:tabs>
          <w:tab w:pos="567" w:val="left"/>
          <w:tab w:pos="1134" w:val="left"/>
          <w:tab w:pos="1247" w:val="left"/>
        </w:tabs>
        <w:shd w:val="clear" w:color="auto" w:fill="ecfdf0"/>
      </w:pPr>
      <w:r>
        <w:rPr>
          <w:color w:val="BFBFBF"/>
          <w:shd w:val="clear" w:color="auto" w:fill="#ddfbe6"/>
        </w:rPr>
        <w:tab/>
        <w:t>410</w:t>
        <w:tab/>
        <w:t>+</w:t>
        <w:tab/>
      </w:r>
      <w:r/>
    </w:p>
    <w:p>
      <w:pPr>
        <w:pStyle w:val="CodeChangeLine"/>
        <w:tabs>
          <w:tab w:pos="567" w:val="left"/>
          <w:tab w:pos="1134" w:val="left"/>
          <w:tab w:pos="1247" w:val="left"/>
        </w:tabs>
        <w:shd w:val="clear" w:color="auto" w:fill="ecfdf0"/>
      </w:pPr>
      <w:r>
        <w:rPr>
          <w:color w:val="BFBFBF"/>
          <w:shd w:val="clear" w:color="auto" w:fill="#ddfbe6"/>
        </w:rPr>
        <w:tab/>
        <w:t>411</w:t>
        <w:tab/>
        <w:t>+</w:t>
        <w:tab/>
      </w:r>
      <w:r/>
    </w:p>
    <w:p>
      <w:pPr>
        <w:pStyle w:val="CodeChangeLine"/>
        <w:tabs>
          <w:tab w:pos="567" w:val="left"/>
          <w:tab w:pos="1134" w:val="left"/>
          <w:tab w:pos="1247" w:val="left"/>
        </w:tabs>
      </w:pPr>
      <w:r>
        <w:rPr>
          <w:color w:val="BFBFBF"/>
          <w:shd w:val="clear" w:color="auto" w:fill="fafafa"/>
        </w:rPr>
        <w:t>403</w:t>
        <w:tab/>
        <w:t>412</w:t>
        <w:tab/>
        <w:tab/>
      </w:r>
      <w:r/>
    </w:p>
    <w:p>
      <w:pPr>
        <w:pStyle w:val="CodeChangeLine"/>
        <w:tabs>
          <w:tab w:pos="567" w:val="left"/>
          <w:tab w:pos="1134" w:val="left"/>
          <w:tab w:pos="1247" w:val="left"/>
        </w:tabs>
      </w:pPr>
      <w:r>
        <w:rPr>
          <w:color w:val="BFBFBF"/>
          <w:shd w:val="clear" w:color="auto" w:fill="fafafa"/>
        </w:rPr>
        <w:t>404</w:t>
        <w:tab/>
        <w:t>413</w:t>
        <w:tab/>
        <w:tab/>
      </w:r>
      <w:r/>
    </w:p>
    <w:p>
      <w:pPr>
        <w:pStyle w:val="CodeChangeLine"/>
        <w:tabs>
          <w:tab w:pos="567" w:val="left"/>
          <w:tab w:pos="1134" w:val="left"/>
          <w:tab w:pos="1247" w:val="left"/>
        </w:tabs>
      </w:pPr>
      <w:r>
        <w:rPr>
          <w:color w:val="BFBFBF"/>
          <w:shd w:val="clear" w:color="auto" w:fill="fafafa"/>
        </w:rPr>
        <w:t>405</w:t>
        <w:tab/>
        <w:t>414</w:t>
        <w:tab/>
        <w:tab/>
      </w:r>
      <w:r>
        <w:t>NOTE 1:    The set of features or APIs to be supported depends on the M2M Common Services and access to available APIs.</w:t>
      </w:r>
    </w:p>
    <w:p>
      <w:pPr>
        <w:pStyle w:val="CodeHeader"/>
      </w:pPr>
      <w:r>
        <w:t xml:space="preserve">@@ -874,7 +883,8 @@ </w:t>
      </w:r>
    </w:p>
    <w:p>
      <w:pPr>
        <w:pStyle w:val="CodeChangeLine"/>
        <w:tabs>
          <w:tab w:pos="567" w:val="left"/>
          <w:tab w:pos="1134" w:val="left"/>
          <w:tab w:pos="1247" w:val="left"/>
        </w:tabs>
      </w:pPr>
      <w:r>
        <w:rPr>
          <w:color w:val="BFBFBF"/>
          <w:shd w:val="clear" w:color="auto" w:fill="fafafa"/>
        </w:rPr>
        <w:t>874</w:t>
        <w:tab/>
        <w:t>883</w:t>
        <w:tab/>
        <w:tab/>
      </w:r>
      <w:r>
        <w:t>| V5.2.1 | 03-May-2024 | This baseline converts the document to Markdown format. |</w:t>
      </w:r>
    </w:p>
    <w:p>
      <w:pPr>
        <w:pStyle w:val="CodeChangeLine"/>
        <w:tabs>
          <w:tab w:pos="567" w:val="left"/>
          <w:tab w:pos="1134" w:val="left"/>
          <w:tab w:pos="1247" w:val="left"/>
        </w:tabs>
      </w:pPr>
      <w:r>
        <w:rPr>
          <w:color w:val="BFBFBF"/>
          <w:shd w:val="clear" w:color="auto" w:fill="fafafa"/>
        </w:rPr>
        <w:t>875</w:t>
        <w:tab/>
        <w:t>884</w:t>
        <w:tab/>
        <w:tab/>
      </w:r>
      <w:r>
        <w:t>| V5.3.0 | 27-Jun-2024 | New baseline |</w:t>
      </w:r>
    </w:p>
    <w:p>
      <w:pPr>
        <w:pStyle w:val="CodeChangeLine"/>
        <w:tabs>
          <w:tab w:pos="567" w:val="left"/>
          <w:tab w:pos="1134" w:val="left"/>
          <w:tab w:pos="1247" w:val="left"/>
        </w:tabs>
      </w:pPr>
      <w:r>
        <w:rPr>
          <w:color w:val="BFBFBF"/>
          <w:shd w:val="clear" w:color="auto" w:fill="fafafa"/>
        </w:rPr>
        <w:t>876</w:t>
        <w:tab/>
        <w:t>885</w:t>
        <w:tab/>
        <w:tab/>
      </w:r>
      <w:r>
        <w:t>| V5.4.0 | 21-Nov-2024 | This baseline including agreed Crs from RDM#67 for Rel.5:&lt;br /&gt;RDM-2024-00055-New\_requirements\_for\_privacy\_regulations&lt;br /&gt;RDM-2024-00056R01-New\_requirements\_for\_consent\_management&lt;br /&gt;RDM-2024-00057-New\_requirements\_for\_data\_ownership\_and\_right\_to\_be\_deleted |</w:t>
      </w:r>
    </w:p>
    <w:p>
      <w:pPr>
        <w:pStyle w:val="CodeChangeLine"/>
        <w:tabs>
          <w:tab w:pos="567" w:val="left"/>
          <w:tab w:pos="1134" w:val="left"/>
          <w:tab w:pos="1247" w:val="left"/>
        </w:tabs>
        <w:shd w:val="clear" w:color="auto" w:fill="fbe9eb"/>
      </w:pPr>
      <w:r>
        <w:rPr>
          <w:color w:val="BFBFBF"/>
          <w:shd w:val="clear" w:color="auto" w:fill="#f9d7dc"/>
        </w:rPr>
        <w:t>877</w:t>
        <w:tab/>
        <w:tab/>
        <w:t>-</w:t>
        <w:tab/>
      </w:r>
      <w:r/>
    </w:p>
    <w:p>
      <w:pPr>
        <w:pStyle w:val="CodeChangeLine"/>
        <w:tabs>
          <w:tab w:pos="567" w:val="left"/>
          <w:tab w:pos="1134" w:val="left"/>
          <w:tab w:pos="1247" w:val="left"/>
        </w:tabs>
        <w:shd w:val="clear" w:color="auto" w:fill="fbe9eb"/>
      </w:pPr>
      <w:r>
        <w:rPr>
          <w:color w:val="BFBFBF"/>
          <w:shd w:val="clear" w:color="auto" w:fill="#f9d7dc"/>
        </w:rPr>
        <w:t>878</w:t>
        <w:tab/>
        <w:tab/>
        <w:t>-</w:t>
        <w:tab/>
      </w:r>
      <w:r/>
    </w:p>
    <w:p>
      <w:pPr>
        <w:pStyle w:val="CodeChangeLine"/>
        <w:tabs>
          <w:tab w:pos="567" w:val="left"/>
          <w:tab w:pos="1134" w:val="left"/>
          <w:tab w:pos="1247" w:val="left"/>
        </w:tabs>
        <w:shd w:val="clear" w:color="auto" w:fill="fbe9eb"/>
      </w:pPr>
      <w:r>
        <w:rPr>
          <w:color w:val="BFBFBF"/>
          <w:shd w:val="clear" w:color="auto" w:fill="#f9d7dc"/>
        </w:rPr>
        <w:t>879</w:t>
        <w:tab/>
        <w:tab/>
        <w:t>-</w:t>
        <w:tab/>
      </w:r>
      <w:r/>
    </w:p>
    <w:p>
      <w:pPr>
        <w:pStyle w:val="CodeChangeLine"/>
        <w:tabs>
          <w:tab w:pos="567" w:val="left"/>
          <w:tab w:pos="1134" w:val="left"/>
          <w:tab w:pos="1247" w:val="left"/>
        </w:tabs>
        <w:shd w:val="clear" w:color="auto" w:fill="fbe9eb"/>
      </w:pPr>
      <w:r>
        <w:rPr>
          <w:color w:val="BFBFBF"/>
          <w:shd w:val="clear" w:color="auto" w:fill="#f9d7dc"/>
        </w:rPr>
        <w:t>880</w:t>
        <w:tab/>
        <w:tab/>
        <w:t>-</w:t>
        <w:tab/>
      </w:r>
      <w:r/>
    </w:p>
    <w:p>
      <w:pPr>
        <w:pStyle w:val="CodeChangeLine"/>
        <w:tabs>
          <w:tab w:pos="567" w:val="left"/>
          <w:tab w:pos="1134" w:val="left"/>
          <w:tab w:pos="1247" w:val="left"/>
        </w:tabs>
        <w:shd w:val="clear" w:color="auto" w:fill="ecfdf0"/>
      </w:pPr>
      <w:r>
        <w:rPr>
          <w:color w:val="BFBFBF"/>
          <w:shd w:val="clear" w:color="auto" w:fill="#ddfbe6"/>
        </w:rPr>
        <w:tab/>
        <w:t>886</w:t>
        <w:tab/>
        <w:t>+</w:t>
        <w:tab/>
      </w:r>
      <w:r>
        <w:t>| V5.5.0 | 30-Sep-2025 | This baseline including agreed CRs from RDM#71.1 for Rel.5:&lt;br /&gt;RDM-2025-00079-New\_requirements\_for\_swarm\_computing&lt;br /&gt;RDM-2025-00080-New\_requirements\_for\_service\_continuity |</w:t>
      </w:r>
    </w:p>
    <w:p>
      <w:pPr>
        <w:pStyle w:val="CodeChangeLine"/>
        <w:tabs>
          <w:tab w:pos="567" w:val="left"/>
          <w:tab w:pos="1134" w:val="left"/>
          <w:tab w:pos="1247" w:val="left"/>
        </w:tabs>
        <w:shd w:val="clear" w:color="auto" w:fill="ecfdf0"/>
      </w:pPr>
      <w:r>
        <w:rPr>
          <w:color w:val="BFBFBF"/>
          <w:shd w:val="clear" w:color="auto" w:fill="#ddfbe6"/>
        </w:rPr>
        <w:tab/>
        <w:t>887</w:t>
        <w:tab/>
        <w:t>+</w:t>
        <w:tab/>
      </w:r>
      <w:r/>
    </w:p>
    <w:p>
      <w:pPr>
        <w:pStyle w:val="CodeChangeLine"/>
        <w:tabs>
          <w:tab w:pos="567" w:val="left"/>
          <w:tab w:pos="1134" w:val="left"/>
          <w:tab w:pos="1247" w:val="left"/>
        </w:tabs>
        <w:shd w:val="clear" w:color="auto" w:fill="ecfdf0"/>
      </w:pPr>
      <w:r>
        <w:rPr>
          <w:color w:val="BFBFBF"/>
          <w:shd w:val="clear" w:color="auto" w:fill="#ddfbe6"/>
        </w:rPr>
        <w:tab/>
        <w:t>888</w:t>
        <w:tab/>
        <w:t>+</w:t>
        <w:tab/>
      </w:r>
      <w:r/>
    </w:p>
    <w:p>
      <w:pPr>
        <w:pStyle w:val="CodeChangeLine"/>
        <w:tabs>
          <w:tab w:pos="567" w:val="left"/>
          <w:tab w:pos="1134" w:val="left"/>
          <w:tab w:pos="1247" w:val="left"/>
        </w:tabs>
        <w:shd w:val="clear" w:color="auto" w:fill="ecfdf0"/>
      </w:pPr>
      <w:r>
        <w:rPr>
          <w:color w:val="BFBFBF"/>
          <w:shd w:val="clear" w:color="auto" w:fill="#ddfbe6"/>
        </w:rPr>
        <w:tab/>
        <w:t>889</w:t>
        <w:tab/>
        <w:t>+</w:t>
        <w:tab/>
      </w:r>
      <w:r/>
    </w:p>
    <w:p>
      <w:pPr>
        <w:pStyle w:val="CodeChangeLine"/>
        <w:tabs>
          <w:tab w:pos="567" w:val="left"/>
          <w:tab w:pos="1134" w:val="left"/>
          <w:tab w:pos="1247" w:val="left"/>
        </w:tabs>
        <w:shd w:val="clear" w:color="auto" w:fill="ecfdf0"/>
      </w:pPr>
      <w:r>
        <w:rPr>
          <w:color w:val="BFBFBF"/>
          <w:shd w:val="clear" w:color="auto" w:fill="#ddfbe6"/>
        </w:rPr>
        <w:tab/>
        <w:t>890</w:t>
        <w:tab/>
        <w:t>+</w:t>
        <w:tab/>
      </w:r>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Massimo Vanetti</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