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pStyle w:val="TAC"/>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TS-0035</w:t>
            </w:r>
            <w:r w:rsidR="005E77DD" w:rsidRPr="00A629A4">
              <w:rPr>
                <w:rFonts w:eastAsia="BatangChe"/>
                <w:sz w:val="22"/>
                <w:szCs w:val="24"/>
                <w:lang w:val="fr-FR"/>
              </w:rPr>
              <w:t>-</w:t>
            </w:r>
            <w:r>
              <w:rPr>
                <w:rFonts w:eastAsia="BatangChe"/>
                <w:sz w:val="22"/>
                <w:szCs w:val="24"/>
                <w:lang w:val="fr-FR"/>
              </w:rPr>
              <w:t>v5.0.2</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OSGi Interworking</w:t>
            </w:r>
          </w:p>
          <w:p w14:paraId="6C23BE2B" w14:textId="77777777" w:rsidR="00424964" w:rsidRPr="00F3693A" w:rsidRDefault="00424964" w:rsidP="00424964">
            <w:pPr>
              <w:pStyle w:val="TAC"/>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2026-07-10</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The document defines principles and guidelines on interworking OSGi based devices and gateways to oneM2M system.</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3C68EE59"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 xml:space="preserve">The present document defines principles and guidelines on how to interwork devices and gateways that comply to the OSGi™ framework to the oneM2M system. The interworking includes service exposure between an OSGi device or gateway and the oneM2M system. With the interworking, OSGi defined services can be made available by oneM2M defined resources. As a result, by making requests to oneM2M resources, applications can access the services provided by OSGi devices or gateways.</w:t>
      </w:r>
    </w:p>
    <w:bookmarkEnd w:id="2"/>
    <w:bookmarkStart w:id="3" w:name="references"/>
    <w:p>
      <w:pPr>
        <w:pStyle w:val="Heading1"/>
      </w:pPr>
      <w:r>
        <w:t>2</w:t>
        <w:tab/>
        <w:t xml:space="preserve">References</w:t>
      </w:r>
    </w:p>
    <w:bookmarkStart w:id="4" w:name="normative-references"/>
    <w:p>
      <w:pPr>
        <w:pStyle w:val="Heading2"/>
      </w:pPr>
      <w:r>
        <w:t>2.1</w:t>
        <w:tab/>
        <w:t xml:space="preserve">Normative references</w:t>
      </w:r>
    </w:p>
    <w:p>
      <w:pPr>
        <w:pStyle w:val="Normal"/>
      </w:pPr>
      <w:r>
        <w:t>References are either specific (identified by date of publication and/or edition number or version number) or non</w:t>
      </w:r>
      <w:r>
        <w:noBreakHyphen/>
      </w:r>
      <w:r>
        <w:t>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necessary for the application of the present document.</w:t>
      </w:r>
    </w:p>
    <w:p>
      <w:pPr>
        <w:pStyle w:val="EX"/>
      </w:pPr>
      <w:bookmarkStart w:id="5" w:name="X265a31bd79b370d6ad9fbecf643e6fa5b1c09d5"/>
      <w:bookmarkEnd w:id="3"/>
      <w:r>
        <w:t xml:space="preserve">[1]</w:t>
      </w:r>
      <w:r>
        <w:tab/>
      </w:r>
      <w:r>
        <w:t xml:space="preserve"/>
      </w:r>
      <w:r>
        <w:t xml:space="preserve">oneM2M TS-0023:</w:t>
      </w:r>
      <w:r>
        <w:t xml:space="preserve"> </w:t>
      </w:r>
      <w:r>
        <w:t xml:space="preserve">"Home Appliances Information Model and Mapping"</w:t>
      </w:r>
      <w:r>
        <w:t xml:space="preserve">.</w:t>
      </w:r>
    </w:p>
    <w:p>
      <w:pPr>
        <w:pStyle w:val="EX"/>
      </w:pPr>
      <w:bookmarkStart w:id="6" w:name="X43b58990f2b8fb6933d1a1555450410c613db3d"/>
      <w:bookmarkEnd w:id="4"/>
      <w:r>
        <w:t xml:space="preserve">[2]</w:t>
      </w:r>
      <w:r>
        <w:tab/>
      </w:r>
      <w:r>
        <w:t xml:space="preserve"/>
      </w:r>
      <w:r>
        <w:t xml:space="preserve">oneM2M TS-0033:</w:t>
      </w:r>
      <w:r>
        <w:t xml:space="preserve"> </w:t>
      </w:r>
      <w:r>
        <w:t xml:space="preserve">"Proximal IoT Interworking"</w:t>
      </w:r>
      <w:r>
        <w:t xml:space="preserve">.</w:t>
      </w:r>
    </w:p>
    <w:p>
      <w:pPr>
        <w:pStyle w:val="NO"/>
      </w:pPr>
      <w:r>
        <w:t>NOTE: </w:t>
      </w:r>
      <w:r>
        <w:tab/>
      </w:r>
      <w:r>
        <w:t xml:space="preserve">Available at</w:t>
      </w:r>
      <w:r>
        <w:t xml:space="preserve"> </w:t>
      </w:r>
      <w:hyperlink r:id="rId12">
        <w:r>
          <w:rPr>
            <w:rStyle w:val="Hyperlink"/>
          </w:rPr>
          <w:t xml:space="preserve">http://www.onem2m.org/technical/published-drafts</w:t>
        </w:r>
      </w:hyperlink>
      <w:r>
        <w:t xml:space="preserve">.</w:t>
      </w:r>
    </w:p>
    <w:p>
      <w:pPr>
        <w:pStyle w:val="EX"/>
      </w:pPr>
      <w:bookmarkStart w:id="7" w:name="X897fe96bf6a972a2dcda0e3996118720d7f07e2"/>
      <w:bookmarkEnd w:id="5"/>
      <w:r>
        <w:t xml:space="preserve">[3]</w:t>
      </w:r>
      <w:r>
        <w:tab/>
      </w:r>
      <w:r>
        <w:t xml:space="preserve"/>
      </w:r>
      <w:r>
        <w:t xml:space="preserve">OSGi Residential.</w:t>
      </w:r>
    </w:p>
    <w:p>
      <w:pPr>
        <w:pStyle w:val="NO"/>
      </w:pPr>
      <w:r>
        <w:t>NOTE: </w:t>
      </w:r>
      <w:r>
        <w:tab/>
      </w:r>
      <w:r>
        <w:t xml:space="preserve">Available at</w:t>
      </w:r>
      <w:r>
        <w:t xml:space="preserve"> </w:t>
      </w:r>
      <w:hyperlink r:id="rId13">
        <w:r>
          <w:rPr>
            <w:rStyle w:val="Hyperlink"/>
          </w:rPr>
          <w:t xml:space="preserve">https://osgi.org/download/r6/osgi.residential-6.0.0.pdf</w:t>
        </w:r>
      </w:hyperlink>
      <w:r>
        <w:t xml:space="preserve">.</w:t>
      </w:r>
    </w:p>
    <w:bookmarkEnd w:id="6"/>
    <w:bookmarkStart w:id="8" w:name="informative-references"/>
    <w:p>
      <w:pPr>
        <w:pStyle w:val="Heading2"/>
      </w:pPr>
      <w:r>
        <w:t>2.2</w:t>
        <w:tab/>
        <w:t xml:space="preserve">Informative references</w:t>
      </w:r>
    </w:p>
    <w:p>
      <w:pPr>
        <w:pStyle w:val="Normal"/>
      </w:pPr>
      <w:r>
        <w:t>References are either specific (identified by date of publication and/or edition number or version number) or non</w:t>
      </w:r>
      <w:r>
        <w:noBreakHyphen/>
      </w:r>
      <w:r>
        <w:t>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9" w:name="X66afd4be6391a858aac24940b4ca72517b04e47"/>
      <w:bookmarkEnd w:id="7"/>
      <w:r>
        <w:t xml:space="preserve">[i.1]</w:t>
      </w:r>
      <w:r>
        <w:tab/>
      </w:r>
      <w:r>
        <w:t xml:space="preserve"/>
      </w:r>
      <w:r>
        <w:t xml:space="preserve">oneM2M Drafting Rules.</w:t>
      </w:r>
    </w:p>
    <w:p>
      <w:pPr>
        <w:pStyle w:val="NO"/>
      </w:pPr>
      <w:r>
        <w:t>NOTE: </w:t>
      </w:r>
      <w:r>
        <w:tab/>
      </w:r>
      <w:r>
        <w:t xml:space="preserve">Available at</w:t>
      </w:r>
      <w:r>
        <w:t xml:space="preserve"> </w:t>
      </w:r>
      <w:hyperlink r:id="rId14">
        <w:r>
          <w:rPr>
            <w:rStyle w:val="Hyperlink"/>
          </w:rPr>
          <w:t xml:space="preserve">http://www.onem2m.org/images/files/oneM2M-Drafting-Rules.pdf</w:t>
        </w:r>
      </w:hyperlink>
      <w:r>
        <w:t xml:space="preserve">.</w:t>
      </w:r>
    </w:p>
    <w:bookmarkEnd w:id="8"/>
    <w:bookmarkEnd w:id="9"/>
    <w:bookmarkStart w:id="10" w:name="Xe254da9c2f303321d6c9a4dcbd53386c9eebb59"/>
    <w:p>
      <w:pPr>
        <w:pStyle w:val="Heading1"/>
      </w:pPr>
      <w:r>
        <w:t>3</w:t>
        <w:tab/>
        <w:t xml:space="preserve">Definition of terms, symbols and abbreviations</w:t>
      </w:r>
    </w:p>
    <w:bookmarkStart w:id="11" w:name="terms"/>
    <w:p>
      <w:pPr>
        <w:pStyle w:val="Heading2"/>
      </w:pPr>
      <w:r>
        <w:t>3.1</w:t>
        <w:tab/>
        <w:t xml:space="preserve">Terms</w:t>
      </w:r>
    </w:p>
    <w:p>
      <w:pPr>
        <w:pStyle w:val="Normal"/>
      </w:pPr>
      <w:r>
        <w:t xml:space="preserve">Void.</w:t>
      </w:r>
    </w:p>
    <w:bookmarkEnd w:id="10"/>
    <w:bookmarkStart w:id="12" w:name="symbols"/>
    <w:p>
      <w:pPr>
        <w:pStyle w:val="Heading2"/>
      </w:pPr>
      <w:r>
        <w:t>3.2</w:t>
        <w:tab/>
        <w:t xml:space="preserve">Symbols</w:t>
      </w:r>
    </w:p>
    <w:p>
      <w:pPr>
        <w:pStyle w:val="Normal"/>
      </w:pPr>
      <w:r>
        <w:t xml:space="preserve">Void.</w:t>
      </w:r>
    </w:p>
    <w:bookmarkEnd w:id="11"/>
    <w:bookmarkStart w:id="13" w:name="abbreviations"/>
    <w:p>
      <w:pPr>
        <w:pStyle w:val="Heading2"/>
      </w:pPr>
      <w:r>
        <w:t>3.3</w:t>
        <w:tab/>
        <w:t xml:space="preserve">Abbreviations</w:t>
      </w:r>
    </w:p>
    <w:p>
      <w:pPr>
        <w:pStyle w:val="Normal"/>
      </w:pPr>
      <w:r>
        <w:t xml:space="preserve">For the purposes of the present document, the following abbreviations apply:</w:t>
      </w:r>
    </w:p>
    <w:p>
      <w:pPr>
        <w:pStyle w:val="EW"/>
      </w:pPr>
      <w:r>
        <w:t>AE</w:t>
      </w:r>
      <w:r>
        <w:tab/>
      </w:r>
      <w:r>
        <w:t>Application Entity</w:t>
      </w:r>
    </w:p>
    <w:p>
      <w:pPr>
        <w:pStyle w:val="EW"/>
      </w:pPr>
      <w:r>
        <w:t>CSE</w:t>
      </w:r>
      <w:r>
        <w:tab/>
      </w:r>
      <w:r>
        <w:t>Common Services Entity</w:t>
      </w:r>
    </w:p>
    <w:p>
      <w:pPr>
        <w:pStyle w:val="EW"/>
      </w:pPr>
      <w:r>
        <w:t>DAL</w:t>
      </w:r>
      <w:r>
        <w:tab/>
      </w:r>
      <w:r>
        <w:t>Device Abstraction Layer</w:t>
      </w:r>
    </w:p>
    <w:p>
      <w:pPr>
        <w:pStyle w:val="EW"/>
      </w:pPr>
      <w:r>
        <w:t>DMT</w:t>
      </w:r>
      <w:r>
        <w:tab/>
      </w:r>
      <w:r>
        <w:t>Device Management Tree</w:t>
      </w:r>
    </w:p>
    <w:p>
      <w:pPr>
        <w:pStyle w:val="EW"/>
      </w:pPr>
      <w:r>
        <w:t>HAIM</w:t>
      </w:r>
      <w:r>
        <w:tab/>
      </w:r>
      <w:r>
        <w:t>Home Appliance Information Model</w:t>
      </w:r>
    </w:p>
    <w:p>
      <w:pPr>
        <w:pStyle w:val="EW"/>
      </w:pPr>
      <w:r>
        <w:t>IoT</w:t>
      </w:r>
      <w:r>
        <w:tab/>
      </w:r>
      <w:r>
        <w:t>Internet of Things</w:t>
      </w:r>
    </w:p>
    <w:p>
      <w:pPr>
        <w:pStyle w:val="EW"/>
      </w:pPr>
      <w:r>
        <w:t>IPE</w:t>
      </w:r>
      <w:r>
        <w:tab/>
      </w:r>
      <w:r>
        <w:t>Interworking Proxy Entity</w:t>
      </w:r>
    </w:p>
    <w:p>
      <w:pPr>
        <w:pStyle w:val="EW"/>
      </w:pPr>
      <w:r>
        <w:t>NoDN</w:t>
      </w:r>
      <w:r>
        <w:tab/>
      </w:r>
      <w:r>
        <w:t>Non-oneM2M Node</w:t>
      </w:r>
    </w:p>
    <w:p>
      <w:pPr>
        <w:pStyle w:val="EW"/>
      </w:pPr>
      <w:r>
        <w:t>OSGi</w:t>
      </w:r>
      <w:r>
        <w:tab/>
      </w:r>
      <w:r>
        <w:t>Open Services Gateway initiative</w:t>
      </w:r>
    </w:p>
    <w:p>
      <w:pPr>
        <w:pStyle w:val="EW"/>
      </w:pPr>
      <w:r>
        <w:t>SDT</w:t>
      </w:r>
      <w:r>
        <w:tab/>
      </w:r>
      <w:r>
        <w:t>Smart Device Template</w:t>
      </w:r>
    </w:p>
    <w:p>
      <w:pPr>
        <w:pStyle w:val="EW"/>
      </w:pPr>
      <w:r>
        <w:t>TS</w:t>
      </w:r>
      <w:r>
        <w:tab/>
      </w:r>
      <w:r>
        <w:t>Technical Specification</w:t>
      </w:r>
    </w:p>
    <w:bookmarkEnd w:id="12"/>
    <w:bookmarkEnd w:id="13"/>
    <w:bookmarkStart w:id="14"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hyperlink w:anchor="X66afd4be6391a858aac24940b4ca72517b04e47">
        <w:r>
          <w:rPr>
            <w:rStyle w:val="Normal"/>
          </w:rPr>
          <w:t xml:space="preserve">[i.1]</w:t>
        </w:r>
      </w:hyperlink>
      <w:r>
        <w:t xml:space="preserve">.</w:t>
      </w:r>
    </w:p>
    <w:bookmarkEnd w:id="14"/>
    <w:bookmarkStart w:id="15" w:name="osgi-interworking-general-architecture"/>
    <w:p>
      <w:pPr>
        <w:pStyle w:val="Heading1"/>
      </w:pPr>
      <w:r>
        <w:t>5</w:t>
        <w:tab/>
        <w:t xml:space="preserve">OSGi Interworking General Architecture</w:t>
      </w:r>
    </w:p>
    <w:bookmarkStart w:id="16" w:name="osgi-interworking-architecture"/>
    <w:p>
      <w:pPr>
        <w:pStyle w:val="Heading2"/>
      </w:pPr>
      <w:r>
        <w:t>5.1</w:t>
        <w:tab/>
        <w:t xml:space="preserve">OSGi Interworking Architecture</w:t>
      </w:r>
    </w:p>
    <w:p xmlns:a="http://schemas.openxmlformats.org/drawingml/2006/main" xmlns:pic="http://schemas.openxmlformats.org/drawingml/2006/picture">
      <w:pPr>
        <w:pStyle w:val="FL"/>
      </w:pPr>
      <w:r>
        <w:drawing>
          <wp:inline>
            <wp:extent cx="6108700" cy="3097135"/>
            <wp:effectExtent b="0" l="0" r="0" t="0"/>
            <wp:docPr descr="Figure 5.1-1: OSGi Interworking Architecture" title="" id="2" name="Picture"/>
            <a:graphic>
              <a:graphicData uri="http://schemas.openxmlformats.org/drawingml/2006/picture">
                <pic:pic>
                  <pic:nvPicPr>
                    <pic:cNvPr descr="./media/5.1-1.png" id="2" name="Picture"/>
                    <pic:cNvPicPr>
                      <a:picLocks noChangeArrowheads="1" noChangeAspect="1"/>
                    </pic:cNvPicPr>
                  </pic:nvPicPr>
                  <pic:blipFill>
                    <a:blip r:embed="rId15"/>
                    <a:stretch>
                      <a:fillRect/>
                    </a:stretch>
                  </pic:blipFill>
                  <pic:spPr bwMode="auto">
                    <a:xfrm>
                      <a:off x="0" y="0"/>
                      <a:ext cx="6108700" cy="3097135"/>
                    </a:xfrm>
                    <a:prstGeom prst="rect">
                      <a:avLst/>
                    </a:prstGeom>
                    <a:noFill/>
                    <a:ln w="9525">
                      <a:noFill/>
                      <a:headEnd/>
                      <a:tailEnd/>
                    </a:ln>
                  </pic:spPr>
                </pic:pic>
              </a:graphicData>
            </a:graphic>
          </wp:inline>
        </w:drawing>
      </w:r>
    </w:p>
    <w:p>
      <w:pPr>
        <w:pStyle w:val="TF"/>
      </w:pPr>
      <w:r>
        <w:t xml:space="preserve">Figure 5.1-1: OSGi Interworking Architecture</w:t>
      </w:r>
    </w:p>
    <w:p>
      <w:pPr>
        <w:pStyle w:val="Normal"/>
      </w:pPr>
      <w:r>
        <w:t>OSGi Interworking is to interwork services provided by an OSGi based device or gateway to oneM2M entities which may be an AE or CSE. The OSGi services may include an OSGi defined DAL (Device Abstraction Layer) service, SDT (Smart Device Template) service, DMT (device management tree) admin service, other standardized services or proprietary services. The oneM2M</w:t>
      </w:r>
      <w:r>
        <w:noBreakHyphen/>
      </w:r>
      <w:r>
        <w:t>OSGi IPE bundle is in charge of the interworking of OSGi services to oneM2M resources and vice versa.</w:t>
      </w:r>
    </w:p>
    <w:p>
      <w:pPr>
        <w:pStyle w:val="Normal"/>
      </w:pPr>
      <w:r>
        <w:t xml:space="preserve">The IPE bundle maps the invocation of the OSGi services and changes of state of oneM2M resources. If the OSGi based device or gateway hosts a CSE bundle, the IPE interacts with the CSE bundle internally. The OSGi based device or gateway interacts with the other oneM2M entities through Mca or Mcc reference point. If the OSGi based device or gateway does not host a CSE bundle, the IPE interacts with the CSE through a network interface.</w:t>
      </w:r>
    </w:p>
    <w:p>
      <w:pPr>
        <w:pStyle w:val="Normal"/>
      </w:pPr>
      <w:r>
        <w:t>The principle of how the interworking should be done shall follow the definition in oneM2M TS</w:t>
      </w:r>
      <w:r>
        <w:noBreakHyphen/>
      </w:r>
      <w:r>
        <w:t>0033</w:t>
      </w:r>
      <w:r>
        <w:t xml:space="preserve"> </w:t>
      </w:r>
      <w:hyperlink w:anchor="X43b58990f2b8fb6933d1a1555450410c613db3d">
        <w:r>
          <w:rPr>
            <w:rStyle w:val="Normal"/>
          </w:rPr>
          <w:t xml:space="preserve">[2]</w:t>
        </w:r>
      </w:hyperlink>
      <w:r>
        <w:t xml:space="preserve"> </w:t>
      </w:r>
      <w:r>
        <w:t>proximal IoT interworking. For devices described by HAIM (Home Appliance Information Model) in oneM2M TS</w:t>
      </w:r>
      <w:r>
        <w:noBreakHyphen/>
      </w:r>
      <w:r>
        <w:t>0023</w:t>
      </w:r>
      <w:r>
        <w:t xml:space="preserve"> </w:t>
      </w:r>
      <w:hyperlink w:anchor="X265a31bd79b370d6ad9fbecf643e6fa5b1c09d5">
        <w:r>
          <w:rPr>
            <w:rStyle w:val="Normal"/>
          </w:rPr>
          <w:t xml:space="preserve">[1]</w:t>
        </w:r>
      </w:hyperlink>
      <w:r>
        <w:t xml:space="preserve">,</w:t>
      </w:r>
      <w:r>
        <w:t xml:space="preserve"> </w:t>
      </w:r>
      <w:r>
        <w:rPr>
          <w:i/>
          <w:iCs/>
        </w:rPr>
        <w:t xml:space="preserve">&lt;flexContainer&gt;</w:t>
      </w:r>
      <w:r>
        <w:t xml:space="preserve"> </w:t>
      </w:r>
      <w:r>
        <w:t xml:space="preserve">resources shall be used to represent the OSGi services. oneM2M also allows the transparent interworking of OSGi services through</w:t>
      </w:r>
      <w:r>
        <w:t xml:space="preserve"> </w:t>
      </w:r>
      <w:r>
        <w:rPr>
          <w:i/>
          <w:iCs/>
        </w:rPr>
        <w:t xml:space="preserve">&lt;container&gt;</w:t>
      </w:r>
      <w:r>
        <w:t xml:space="preserve"> </w:t>
      </w:r>
      <w:r>
        <w:t xml:space="preserve">resources,</w:t>
      </w:r>
      <w:r>
        <w:t xml:space="preserve"> </w:t>
      </w:r>
      <w:r>
        <w:rPr>
          <w:i/>
          <w:iCs/>
        </w:rPr>
        <w:t xml:space="preserve">&lt;AE&gt;</w:t>
      </w:r>
      <w:r>
        <w:t xml:space="preserve"> </w:t>
      </w:r>
      <w:r>
        <w:t xml:space="preserve">resources and</w:t>
      </w:r>
      <w:r>
        <w:t xml:space="preserve"> </w:t>
      </w:r>
      <w:r>
        <w:rPr>
          <w:i/>
          <w:iCs/>
        </w:rPr>
        <w:t xml:space="preserve">&lt;node&gt;</w:t>
      </w:r>
      <w:r>
        <w:t xml:space="preserve"> </w:t>
      </w:r>
      <w:r>
        <w:t>resources as defined in oneM2M TS</w:t>
      </w:r>
      <w:r>
        <w:noBreakHyphen/>
      </w:r>
      <w:r>
        <w:t>0033</w:t>
      </w:r>
      <w:r>
        <w:t xml:space="preserve"> </w:t>
      </w:r>
      <w:hyperlink w:anchor="X43b58990f2b8fb6933d1a1555450410c613db3d">
        <w:r>
          <w:rPr>
            <w:rStyle w:val="Normal"/>
          </w:rPr>
          <w:t xml:space="preserve">[2]</w:t>
        </w:r>
      </w:hyperlink>
      <w:r>
        <w:t xml:space="preserve">.</w:t>
      </w:r>
    </w:p>
    <w:bookmarkEnd w:id="15"/>
    <w:bookmarkEnd w:id="16"/>
    <w:bookmarkStart w:id="17" w:name="mapping-of-osgi-dal"/>
    <w:p>
      <w:pPr>
        <w:pStyle w:val="Heading1"/>
      </w:pPr>
      <w:r>
        <w:t>6</w:t>
        <w:tab/>
        <w:t xml:space="preserve">Mapping of OSGi DAL</w:t>
      </w:r>
    </w:p>
    <w:bookmarkStart w:id="18" w:name="introduction"/>
    <w:p>
      <w:pPr>
        <w:pStyle w:val="Heading2"/>
      </w:pPr>
      <w:r>
        <w:t>6.1</w:t>
        <w:tab/>
        <w:t xml:space="preserve">Introduction</w:t>
      </w:r>
    </w:p>
    <w:p>
      <w:pPr>
        <w:pStyle w:val="Normal"/>
      </w:pPr>
      <w:r>
        <w:t xml:space="preserve">The OSGi DAL (Device Abstraction Layer)</w:t>
      </w:r>
      <w:r>
        <w:t xml:space="preserve"> </w:t>
      </w:r>
      <w:hyperlink w:anchor="X897fe96bf6a972a2dcda0e3996118720d7f07e2">
        <w:r>
          <w:rPr>
            <w:rStyle w:val="Normal"/>
          </w:rPr>
          <w:t xml:space="preserve">[3]</w:t>
        </w:r>
      </w:hyperlink>
      <w:r>
        <w:t xml:space="preserve"> </w:t>
      </w:r>
      <w:r>
        <w:t xml:space="preserve">is an OSGi defined service to unify interfaces for accessing devices. By using the OSGi DAL, application developers do not need to deal with protocol details to interact with different types of devices such as sensors, actuators, etc.</w:t>
      </w:r>
    </w:p>
    <w:p xmlns:a="http://schemas.openxmlformats.org/drawingml/2006/main" xmlns:pic="http://schemas.openxmlformats.org/drawingml/2006/picture">
      <w:pPr>
        <w:pStyle w:val="FL"/>
      </w:pPr>
      <w:r>
        <w:drawing>
          <wp:inline>
            <wp:extent cx="6108700" cy="2736047"/>
            <wp:effectExtent b="0" l="0" r="0" t="0"/>
            <wp:docPr descr="Figure 6.1-1: OSGi DAL [3]" title="" id="3" name="Picture"/>
            <a:graphic>
              <a:graphicData uri="http://schemas.openxmlformats.org/drawingml/2006/picture">
                <pic:pic>
                  <pic:nvPicPr>
                    <pic:cNvPr descr="media/6.1-1.png" id="3" name="Picture"/>
                    <pic:cNvPicPr>
                      <a:picLocks noChangeArrowheads="1" noChangeAspect="1"/>
                    </pic:cNvPicPr>
                  </pic:nvPicPr>
                  <pic:blipFill>
                    <a:blip r:embed="rId16"/>
                    <a:stretch>
                      <a:fillRect/>
                    </a:stretch>
                  </pic:blipFill>
                  <pic:spPr bwMode="auto">
                    <a:xfrm>
                      <a:off x="0" y="0"/>
                      <a:ext cx="6108700" cy="2736047"/>
                    </a:xfrm>
                    <a:prstGeom prst="rect">
                      <a:avLst/>
                    </a:prstGeom>
                    <a:noFill/>
                    <a:ln w="9525">
                      <a:noFill/>
                      <a:headEnd/>
                      <a:tailEnd/>
                    </a:ln>
                  </pic:spPr>
                </pic:pic>
              </a:graphicData>
            </a:graphic>
          </wp:inline>
        </w:drawing>
      </w:r>
    </w:p>
    <w:p>
      <w:pPr>
        <w:pStyle w:val="TF"/>
      </w:pPr>
      <w:r>
        <w:t xml:space="preserve">Figure 6.1-1: OSGi DAL</w:t>
      </w:r>
      <w:r>
        <w:t xml:space="preserve"> </w:t>
      </w:r>
      <w:hyperlink w:anchor="X897fe96bf6a972a2dcda0e3996118720d7f07e2">
        <w:r>
          <w:rPr>
            <w:rStyle w:val="Normal"/>
          </w:rPr>
          <w:t xml:space="preserve">[3]</w:t>
        </w:r>
      </w:hyperlink>
    </w:p>
    <w:p>
      <w:pPr>
        <w:pStyle w:val="Normal"/>
      </w:pPr>
      <w:r>
        <w:t xml:space="preserve">OSGi DAL is comprised of several services:</w:t>
      </w:r>
    </w:p>
    <w:p>
      <w:pPr>
        <w:pStyle w:val="B1"/>
        <w:numPr>
          <w:ilvl w:val="0"/>
          <w:numId w:val="38"/>
        </w:numPr>
        <w:ind w:left="720" w:hanging="360"/>
        <w:tabs>
          <w:tab w:val="num" w:pos="1080"/>
        </w:tabs>
      </w:pPr>
      <w:r>
        <w:t xml:space="preserve">Device: represents the registered device in the OSGi framework. The device service contains properties describing the device's metadata and context information. The device service has one or more function services.</w:t>
      </w:r>
    </w:p>
    <w:p>
      <w:pPr>
        <w:pStyle w:val="B1"/>
        <w:numPr>
          <w:ilvl w:val="0"/>
          <w:numId w:val="38"/>
        </w:numPr>
        <w:ind w:left="720" w:hanging="360"/>
        <w:tabs>
          <w:tab w:val="num" w:pos="1080"/>
        </w:tabs>
      </w:pPr>
      <w:r>
        <w:t xml:space="preserve">Function: represents the function provided by the device. The function could be data reporting or actuating. The function provides a set of FunctionData, properties and operations. A property is the data information that can be accessed by the application. An operation is the interface that can be invoked by an application to trigger a certain procedure. The function also posts FunctionEvent.</w:t>
      </w:r>
    </w:p>
    <w:p>
      <w:pPr>
        <w:pStyle w:val="B1"/>
        <w:numPr>
          <w:ilvl w:val="0"/>
          <w:numId w:val="38"/>
        </w:numPr>
        <w:ind w:left="720" w:hanging="360"/>
        <w:tabs>
          <w:tab w:val="num" w:pos="1080"/>
        </w:tabs>
      </w:pPr>
      <w:r>
        <w:t xml:space="preserve">FunctionEvent: represents the asynchronous event of the function. Once the event is triggered, the event is handled by the registered event handler.</w:t>
      </w:r>
    </w:p>
    <w:p>
      <w:pPr>
        <w:pStyle w:val="B1"/>
        <w:numPr>
          <w:ilvl w:val="0"/>
          <w:numId w:val="38"/>
        </w:numPr>
        <w:ind w:left="720" w:hanging="360"/>
        <w:tabs>
          <w:tab w:val="num" w:pos="1080"/>
        </w:tabs>
      </w:pPr>
      <w:r>
        <w:t xml:space="preserve">FunctionData: represents the data structure that contains the property and metadata of the function.</w:t>
      </w:r>
    </w:p>
    <w:p>
      <w:pPr>
        <w:pStyle w:val="B1"/>
        <w:numPr>
          <w:ilvl w:val="0"/>
          <w:numId w:val="38"/>
        </w:numPr>
        <w:ind w:left="720" w:hanging="360"/>
        <w:tabs>
          <w:tab w:val="num" w:pos="1080"/>
        </w:tabs>
      </w:pPr>
      <w:r>
        <w:t xml:space="preserve">PropertyMetadata: represents the metadata of the function property.</w:t>
      </w:r>
    </w:p>
    <w:p>
      <w:pPr>
        <w:pStyle w:val="B1"/>
        <w:numPr>
          <w:ilvl w:val="0"/>
          <w:numId w:val="38"/>
        </w:numPr>
        <w:ind w:left="720" w:hanging="360"/>
        <w:tabs>
          <w:tab w:val="num" w:pos="1080"/>
        </w:tabs>
      </w:pPr>
      <w:r>
        <w:t xml:space="preserve">OperationMetadata: represents the metadata of the function operation.</w:t>
      </w:r>
    </w:p>
    <w:bookmarkEnd w:id="17"/>
    <w:bookmarkStart w:id="19" w:name="device-service"/>
    <w:p>
      <w:pPr>
        <w:pStyle w:val="Heading2"/>
      </w:pPr>
      <w:r>
        <w:t>6.2</w:t>
        <w:tab/>
        <w:t xml:space="preserve">Device service</w:t>
      </w:r>
    </w:p>
    <w:p>
      <w:pPr>
        <w:pStyle w:val="Normal"/>
      </w:pPr>
      <w:r>
        <w:t xml:space="preserve">The device service defined by OSGi DAL maps to a oneM2M NoDN and is represented as a specialized</w:t>
      </w:r>
      <w:r>
        <w:t xml:space="preserve"> </w:t>
      </w:r>
      <w:r>
        <w:rPr>
          <w:i/>
          <w:iCs/>
        </w:rPr>
        <w:t xml:space="preserve">&lt;flexContainer&gt;</w:t>
      </w:r>
      <w:r>
        <w:t xml:space="preserve"> </w:t>
      </w:r>
      <w:r>
        <w:t xml:space="preserve">resource and a</w:t>
      </w:r>
      <w:r>
        <w:t xml:space="preserve"> </w:t>
      </w:r>
      <w:r>
        <w:rPr>
          <w:i/>
          <w:iCs/>
        </w:rPr>
        <w:t xml:space="preserve">&lt;node&gt;</w:t>
      </w:r>
      <w:r>
        <w:t xml:space="preserve"> </w:t>
      </w:r>
      <w:r>
        <w:t xml:space="preserve">resource.</w:t>
      </w:r>
    </w:p>
    <w:p>
      <w:pPr>
        <w:pStyle w:val="Normal"/>
      </w:pPr>
      <w:r>
        <w:t xml:space="preserve">The OSGi device service itself shall be mapped to a specialized</w:t>
      </w:r>
      <w:r>
        <w:t xml:space="preserve"> </w:t>
      </w:r>
      <w:r>
        <w:rPr>
          <w:i/>
          <w:iCs/>
        </w:rPr>
        <w:t xml:space="preserve">&lt;flexContainer&gt;</w:t>
      </w:r>
      <w:r>
        <w:t xml:space="preserve"> </w:t>
      </w:r>
      <w:r>
        <w:t xml:space="preserve">resource of a specific device model that the OSGi device service instance represents. The properties of an OSGi device service shall be mapped to the attributes of the</w:t>
      </w:r>
      <w:r>
        <w:t xml:space="preserve"> </w:t>
      </w:r>
      <w:r>
        <w:rPr>
          <w:i/>
          <w:iCs/>
        </w:rPr>
        <w:t xml:space="preserve">&lt;flexContainer&gt;</w:t>
      </w:r>
      <w:r>
        <w:t xml:space="preserve"> </w:t>
      </w:r>
      <w:r>
        <w:t xml:space="preserve">resource, the</w:t>
      </w:r>
      <w:r>
        <w:t xml:space="preserve"> </w:t>
      </w:r>
      <w:r>
        <w:rPr>
          <w:i/>
          <w:iCs/>
        </w:rPr>
        <w:t xml:space="preserve">&lt;node&gt;</w:t>
      </w:r>
      <w:r>
        <w:t xml:space="preserve"> </w:t>
      </w:r>
      <w:r>
        <w:t xml:space="preserve">resource and its child</w:t>
      </w:r>
      <w:r>
        <w:t xml:space="preserve"> </w:t>
      </w:r>
      <w:r>
        <w:rPr>
          <w:i/>
          <w:iCs/>
        </w:rPr>
        <w:t xml:space="preserve">[deviceInfo]</w:t>
      </w:r>
      <w:r>
        <w:t xml:space="preserve"> </w:t>
      </w:r>
      <w:r>
        <w:t xml:space="preserve">resource.</w:t>
      </w:r>
    </w:p>
    <w:p>
      <w:pPr>
        <w:pStyle w:val="Normal"/>
      </w:pPr>
      <w:r>
        <w:t xml:space="preserve">Once an OSGi device service is registered at the OSGi framework, the IPE shall be responsible for acquiring all OSGi device service properties and other related services (such as OSGi function services) and creating the corresponding resources on the oneM2M CSE.</w:t>
      </w:r>
    </w:p>
    <w:p>
      <w:pPr>
        <w:pStyle w:val="Normal"/>
      </w:pPr>
      <w:r>
        <w:t xml:space="preserve">Upon the registration of an OSGi device service, the IPE should create a</w:t>
      </w:r>
      <w:r>
        <w:t xml:space="preserve"> </w:t>
      </w:r>
      <w:r>
        <w:rPr>
          <w:i/>
          <w:iCs/>
        </w:rPr>
        <w:t xml:space="preserve">&lt;node&gt;</w:t>
      </w:r>
      <w:r>
        <w:t xml:space="preserve"> </w:t>
      </w:r>
      <w:r>
        <w:t xml:space="preserve">resource and a</w:t>
      </w:r>
      <w:r>
        <w:t xml:space="preserve"> </w:t>
      </w:r>
      <w:r>
        <w:rPr>
          <w:i/>
          <w:iCs/>
        </w:rPr>
        <w:t xml:space="preserve">[deviceInfo]</w:t>
      </w:r>
      <w:r>
        <w:t xml:space="preserve"> </w:t>
      </w:r>
      <w:r>
        <w:t xml:space="preserve">specialization as the child resource of the</w:t>
      </w:r>
      <w:r>
        <w:t xml:space="preserve"> </w:t>
      </w:r>
      <w:r>
        <w:rPr>
          <w:i/>
          <w:iCs/>
        </w:rPr>
        <w:t xml:space="preserve">&lt;node&gt;</w:t>
      </w:r>
      <w:r>
        <w:t xml:space="preserve"> </w:t>
      </w:r>
      <w:r>
        <w:t xml:space="preserve">resource. The IPE should also create one</w:t>
      </w:r>
      <w:r>
        <w:t xml:space="preserve"> </w:t>
      </w:r>
      <w:r>
        <w:rPr>
          <w:i/>
          <w:iCs/>
        </w:rPr>
        <w:t xml:space="preserve">&lt;flexContainer&gt;</w:t>
      </w:r>
      <w:r>
        <w:t xml:space="preserve"> </w:t>
      </w:r>
      <w:r>
        <w:t xml:space="preserve">resource with specialized mandatory</w:t>
      </w:r>
      <w:r>
        <w:t xml:space="preserve"> </w:t>
      </w:r>
      <w:r>
        <w:rPr>
          <w:i/>
          <w:iCs/>
        </w:rPr>
        <w:t xml:space="preserve">[customAttribute]</w:t>
      </w:r>
      <w:r>
        <w:t xml:space="preserve"> </w:t>
      </w:r>
      <w:r>
        <w:t xml:space="preserve">as a</w:t>
      </w:r>
      <w:r>
        <w:t xml:space="preserve"> </w:t>
      </w:r>
      <w:r>
        <w:rPr>
          <w:i/>
          <w:iCs/>
        </w:rPr>
        <w:t xml:space="preserve">'nodeLink'</w:t>
      </w:r>
      <w:r>
        <w:t xml:space="preserve"> </w:t>
      </w:r>
      <w:r>
        <w:t xml:space="preserve">attribute, which links to a</w:t>
      </w:r>
      <w:r>
        <w:t xml:space="preserve"> </w:t>
      </w:r>
      <w:r>
        <w:rPr>
          <w:i/>
          <w:iCs/>
        </w:rPr>
        <w:t xml:space="preserve">&lt;node&gt;</w:t>
      </w:r>
      <w:r>
        <w:t xml:space="preserve"> </w:t>
      </w:r>
      <w:r>
        <w:t xml:space="preserve">resource that is hosted on the same hosting CSE of the</w:t>
      </w:r>
      <w:r>
        <w:t xml:space="preserve"> </w:t>
      </w:r>
      <w:r>
        <w:rPr>
          <w:i/>
          <w:iCs/>
        </w:rPr>
        <w:t xml:space="preserve">&lt;flexContainer&gt;</w:t>
      </w:r>
      <w:r>
        <w:t xml:space="preserve">. The mapping between OSGi device and oneM2M resources shall be as follows.</w:t>
      </w:r>
    </w:p>
    <w:p>
      <w:pPr>
        <w:pStyle w:val="TH"/>
      </w:pPr>
      <w:r>
        <w:t xml:space="preserve">Table 6.2-1: Mapping of OSGi device service to oneM2M resources</w:t>
      </w:r>
    </w:p>
    <w:tbl>
      <w:tblPr>
        <w:tblStyle w:val="Table"/>
        <w:tblW w:type="pct" w:w="5000"/>
        <w:tblLayout w:type="fixed"/>
        <w:tblLook w:firstRow="1" w:lastRow="0" w:firstColumn="0" w:lastColumn="0" w:noHBand="0" w:noVBand="0" w:val="0020"/>
        <w:tblCaption w:val="Table 6.2-1: Mapping of OSGi device service to oneM2M resource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OSGi device service</w:t>
            </w:r>
          </w:p>
        </w:tc>
        <w:tc>
          <w:tcPr/>
          <w:p>
            <w:pPr>
              <w:pStyle w:val="TAC"/>
            </w:pPr>
            <w:r>
              <w:rPr>
                <w:i/>
                <w:iCs/>
              </w:rPr>
              <w:t xml:space="preserve">&lt;node&gt;</w:t>
            </w:r>
            <w:r>
              <w:t xml:space="preserve"> </w:t>
            </w:r>
            <w:r>
              <w:t xml:space="preserve">resource,</w:t>
            </w:r>
            <w:r>
              <w:t xml:space="preserve"> </w:t>
            </w:r>
            <w:r>
              <w:rPr>
                <w:i/>
                <w:iCs/>
              </w:rPr>
              <w:t xml:space="preserve">[deviceInfo]</w:t>
            </w:r>
            <w:r>
              <w:t xml:space="preserve"> </w:t>
            </w:r>
            <w:r>
              <w:t xml:space="preserve">resource,</w:t>
            </w:r>
            <w:r>
              <w:t xml:space="preserve"> </w:t>
            </w:r>
            <w:r>
              <w:rPr>
                <w:i/>
                <w:iCs/>
              </w:rPr>
              <w:t xml:space="preserve">&lt;flexContainer&gt;</w:t>
            </w:r>
            <w:r>
              <w:t xml:space="preserve"> </w:t>
            </w:r>
            <w:r>
              <w:t xml:space="preserve">resource</w:t>
            </w:r>
          </w:p>
        </w:tc>
        <w:tc>
          <w:tcPr/>
          <w:p>
            <w:pPr>
              <w:pStyle w:val="TAC"/>
            </w:pPr>
            <w:r>
              <w:t xml:space="preserve">The</w:t>
            </w:r>
            <w:r>
              <w:t xml:space="preserve"> </w:t>
            </w:r>
            <w:r>
              <w:rPr>
                <w:i/>
                <w:iCs/>
              </w:rPr>
              <w:t xml:space="preserve">&lt;node&gt;</w:t>
            </w:r>
            <w:r>
              <w:t xml:space="preserve">,</w:t>
            </w:r>
            <w:r>
              <w:t xml:space="preserve"> </w:t>
            </w:r>
            <w:r>
              <w:rPr>
                <w:i/>
                <w:iCs/>
              </w:rPr>
              <w:t xml:space="preserve">[deviceInfo]</w:t>
            </w:r>
            <w:r>
              <w:t xml:space="preserve"> </w:t>
            </w:r>
            <w:r>
              <w:t xml:space="preserve">and</w:t>
            </w:r>
            <w:r>
              <w:t xml:space="preserve"> </w:t>
            </w:r>
            <w:r>
              <w:rPr>
                <w:i/>
                <w:iCs/>
              </w:rPr>
              <w:t xml:space="preserve">&lt;flexContainer&gt;</w:t>
            </w:r>
            <w:r>
              <w:t xml:space="preserve"> </w:t>
            </w:r>
            <w:r>
              <w:t xml:space="preserve">resources are created upon the available of OSGi device service.</w:t>
            </w:r>
          </w:p>
        </w:tc>
      </w:tr>
      <w:tr>
        <w:tc>
          <w:tcPr/>
          <w:p>
            <w:pPr>
              <w:pStyle w:val="TAC"/>
            </w:pPr>
            <w:r>
              <w:t xml:space="preserve">SERVICE_UID property</w:t>
            </w:r>
          </w:p>
        </w:tc>
        <w:tc>
          <w:tcPr/>
          <w:p>
            <w:pPr>
              <w:pStyle w:val="TAC"/>
            </w:pPr>
            <w:r>
              <w:t xml:space="preserve">See description</w:t>
            </w:r>
          </w:p>
        </w:tc>
        <w:tc>
          <w:tcPr/>
          <w:p>
            <w:pPr>
              <w:pStyle w:val="TAC"/>
            </w:pPr>
            <w:r>
              <w:t xml:space="preserve">Maps to the resourceID of the</w:t>
            </w:r>
            <w:r>
              <w:t xml:space="preserve"> </w:t>
            </w:r>
            <w:r>
              <w:rPr>
                <w:i/>
                <w:iCs/>
              </w:rPr>
              <w:t xml:space="preserve">&lt;flexContainer&gt;</w:t>
            </w:r>
            <w:r>
              <w:t xml:space="preserve"> </w:t>
            </w:r>
            <w:r>
              <w:t xml:space="preserve">allocated by the Hosting CSE, however the value does not need to be same. The mapping between SERVICE_UID and resourceID is maintained by IPE internally.</w:t>
            </w:r>
          </w:p>
        </w:tc>
      </w:tr>
      <w:tr>
        <w:tc>
          <w:tcPr/>
          <w:p>
            <w:pPr>
              <w:pStyle w:val="TAC"/>
            </w:pPr>
            <w:r>
              <w:t xml:space="preserve">SERVICE_REFERENCE_UIDS property</w:t>
            </w:r>
          </w:p>
        </w:tc>
        <w:tc>
          <w:tcPr/>
          <w:p>
            <w:pPr>
              <w:pStyle w:val="TAC"/>
            </w:pPr>
            <w:r>
              <w:t xml:space="preserve">See description</w:t>
            </w:r>
          </w:p>
        </w:tc>
        <w:tc>
          <w:tcPr/>
          <w:p>
            <w:pPr>
              <w:pStyle w:val="TAC"/>
            </w:pPr>
            <w:r>
              <w:t xml:space="preserve">Reference device maps to the sub-device defined in oneM2M. Therefore, the reference device in OSGi is mapped to the hierarchical relationship of</w:t>
            </w:r>
            <w:r>
              <w:t xml:space="preserve"> </w:t>
            </w:r>
            <w:r>
              <w:rPr>
                <w:i/>
                <w:iCs/>
              </w:rPr>
              <w:t xml:space="preserve">&lt;flexContainer&gt;</w:t>
            </w:r>
            <w:r>
              <w:t xml:space="preserve"> </w:t>
            </w:r>
            <w:r>
              <w:t xml:space="preserve">resources.</w:t>
            </w:r>
          </w:p>
        </w:tc>
      </w:tr>
      <w:tr>
        <w:tc>
          <w:tcPr/>
          <w:p>
            <w:pPr>
              <w:pStyle w:val="TAC"/>
            </w:pPr>
            <w:r>
              <w:t xml:space="preserve">SERVICE_DRIVER property</w:t>
            </w:r>
          </w:p>
        </w:tc>
        <w:tc>
          <w:tcPr/>
          <w:p>
            <w:pPr>
              <w:pStyle w:val="TAC"/>
            </w:pPr>
            <w:r>
              <w:rPr>
                <w:i/>
                <w:iCs/>
              </w:rPr>
              <w:t xml:space="preserve">areaNwkType</w:t>
            </w:r>
            <w:r>
              <w:t xml:space="preserve"> </w:t>
            </w:r>
            <w:r>
              <w:t xml:space="preserve">attribute of</w:t>
            </w:r>
            <w:r>
              <w:t xml:space="preserve"> </w:t>
            </w:r>
            <w:r>
              <w:rPr>
                <w:i/>
                <w:iCs/>
              </w:rPr>
              <w:t xml:space="preserve">[areaNwkInfo]</w:t>
            </w:r>
            <w:r>
              <w:t xml:space="preserve"> </w:t>
            </w:r>
            <w:r>
              <w:t xml:space="preserve">resource</w:t>
            </w:r>
          </w:p>
        </w:tc>
        <w:tc>
          <w:tcPr/>
          <w:p>
            <w:pPr>
              <w:pStyle w:val="TAC"/>
            </w:pPr>
            <w:r>
              <w:t xml:space="preserve">Service driver maps to the area network type.</w:t>
            </w:r>
          </w:p>
        </w:tc>
      </w:tr>
      <w:tr>
        <w:tc>
          <w:tcPr/>
          <w:p>
            <w:pPr>
              <w:pStyle w:val="TAC"/>
            </w:pPr>
            <w:r>
              <w:t xml:space="preserve">SERVICE_NAME property</w:t>
            </w:r>
          </w:p>
        </w:tc>
        <w:tc>
          <w:tcPr/>
          <w:p>
            <w:pPr>
              <w:pStyle w:val="TAC"/>
            </w:pPr>
            <w:r>
              <w:rPr>
                <w:i/>
                <w:iCs/>
              </w:rPr>
              <w:t xml:space="preserve">resourceName</w:t>
            </w:r>
            <w:r>
              <w:t xml:space="preserve"> </w:t>
            </w:r>
            <w:r>
              <w:t xml:space="preserve">attribute of</w:t>
            </w:r>
            <w:r>
              <w:t xml:space="preserve"> </w:t>
            </w:r>
            <w:r>
              <w:rPr>
                <w:i/>
                <w:iCs/>
              </w:rPr>
              <w:t xml:space="preserve">&lt;flexContainer&gt;</w:t>
            </w:r>
            <w:r>
              <w:t xml:space="preserve"> </w:t>
            </w:r>
            <w:r>
              <w:t xml:space="preserve">resource</w:t>
            </w:r>
          </w:p>
        </w:tc>
        <w:tc>
          <w:tcPr/>
          <w:p>
            <w:pPr>
              <w:pStyle w:val="TAC"/>
            </w:pPr>
            <w:r>
              <w:t xml:space="preserve">The SERVICE_NAME is used to request resource name of</w:t>
            </w:r>
            <w:r>
              <w:t xml:space="preserve"> </w:t>
            </w:r>
            <w:r>
              <w:rPr>
                <w:i/>
                <w:iCs/>
              </w:rPr>
              <w:t xml:space="preserve">&lt;flexContainer&gt;</w:t>
            </w:r>
            <w:r>
              <w:t xml:space="preserve"> </w:t>
            </w:r>
            <w:r>
              <w:t xml:space="preserve">resource.</w:t>
            </w:r>
          </w:p>
        </w:tc>
      </w:tr>
      <w:tr>
        <w:tc>
          <w:tcPr/>
          <w:p>
            <w:pPr>
              <w:pStyle w:val="TAC"/>
            </w:pPr>
            <w:r>
              <w:t xml:space="preserve">SERVICE_STATUS property</w:t>
            </w:r>
          </w:p>
        </w:tc>
        <w:tc>
          <w:tcPr/>
          <w:p>
            <w:pPr>
              <w:pStyle w:val="TAC"/>
            </w:pPr>
            <w:r>
              <w:t xml:space="preserve">See description</w:t>
            </w:r>
          </w:p>
        </w:tc>
        <w:tc>
          <w:tcPr/>
          <w:p>
            <w:pPr>
              <w:pStyle w:val="TAC"/>
            </w:pPr>
            <w:r>
              <w:t xml:space="preserve">Is maintained by lifecycle management of</w:t>
            </w:r>
            <w:r>
              <w:t xml:space="preserve"> </w:t>
            </w:r>
            <w:r>
              <w:rPr>
                <w:i/>
                <w:iCs/>
              </w:rPr>
              <w:t xml:space="preserve">&lt;flexContainer&gt;</w:t>
            </w:r>
            <w:r>
              <w:t xml:space="preserve"> </w:t>
            </w:r>
            <w:r>
              <w:t xml:space="preserve">resources. The</w:t>
            </w:r>
            <w:r>
              <w:t xml:space="preserve"> </w:t>
            </w:r>
            <w:r>
              <w:rPr>
                <w:i/>
                <w:iCs/>
              </w:rPr>
              <w:t xml:space="preserve">&lt;flexContainer&gt;</w:t>
            </w:r>
            <w:r>
              <w:t xml:space="preserve"> </w:t>
            </w:r>
            <w:r>
              <w:t xml:space="preserve">resource should only be created if the SERVICE_STATUS of the OSGi device is STATUS_ONLINE.</w:t>
            </w:r>
          </w:p>
        </w:tc>
      </w:tr>
      <w:tr>
        <w:tc>
          <w:tcPr/>
          <w:p>
            <w:pPr>
              <w:pStyle w:val="TAC"/>
            </w:pPr>
            <w:r>
              <w:t xml:space="preserve">SERVICE_STATUS_DETAIL property</w:t>
            </w:r>
          </w:p>
        </w:tc>
        <w:tc>
          <w:tcPr/>
          <w:p>
            <w:pPr>
              <w:pStyle w:val="TAC"/>
            </w:pPr>
            <w:r>
              <w:t xml:space="preserve">See description</w:t>
            </w:r>
          </w:p>
        </w:tc>
        <w:tc>
          <w:tcPr/>
          <w:p>
            <w:pPr>
              <w:pStyle w:val="TAC"/>
            </w:pPr>
            <w:r>
              <w:t xml:space="preserve">The status is not visible to oneM2M. The IPE will monitor the status change and reflect the status change in the lifecycle management of the</w:t>
            </w:r>
            <w:r>
              <w:t xml:space="preserve"> </w:t>
            </w:r>
            <w:r>
              <w:rPr>
                <w:i/>
                <w:iCs/>
              </w:rPr>
              <w:t xml:space="preserve">&lt;flexContainer&gt;</w:t>
            </w:r>
            <w:r>
              <w:t xml:space="preserve"> </w:t>
            </w:r>
            <w:r>
              <w:t xml:space="preserve">resource.</w:t>
            </w:r>
          </w:p>
        </w:tc>
      </w:tr>
      <w:tr>
        <w:tc>
          <w:tcPr/>
          <w:p>
            <w:pPr>
              <w:pStyle w:val="TAC"/>
            </w:pPr>
            <w:r>
              <w:t xml:space="preserve">SERVICE_HARDWARE_VENDOR property</w:t>
            </w:r>
          </w:p>
        </w:tc>
        <w:tc>
          <w:tcPr/>
          <w:p>
            <w:pPr>
              <w:pStyle w:val="TAC"/>
            </w:pPr>
            <w:r>
              <w:rPr>
                <w:i/>
                <w:iCs/>
              </w:rPr>
              <w:t xml:space="preserve">manufacturer</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SERVICE_HARDWARE_VERSION property</w:t>
            </w:r>
          </w:p>
        </w:tc>
        <w:tc>
          <w:tcPr/>
          <w:p>
            <w:pPr>
              <w:pStyle w:val="TAC"/>
            </w:pPr>
            <w:r>
              <w:rPr>
                <w:i/>
                <w:iCs/>
              </w:rPr>
              <w:t xml:space="preserve">hwVersion</w:t>
            </w:r>
            <w:r>
              <w:t xml:space="preserve"> </w:t>
            </w:r>
            <w:r>
              <w:t xml:space="preserve">attribute</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SERVICE_FIRMWARE_VENDOR property</w:t>
            </w:r>
          </w:p>
        </w:tc>
        <w:tc>
          <w:tcPr/>
          <w:p>
            <w:pPr>
              <w:pStyle w:val="TAC"/>
            </w:pPr>
            <w:r>
              <w:rPr>
                <w:i/>
                <w:iCs/>
              </w:rPr>
              <w:t xml:space="preserve">labels</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SERVICE_FIRMWARE_VERSION property</w:t>
            </w:r>
          </w:p>
        </w:tc>
        <w:tc>
          <w:tcPr/>
          <w:p>
            <w:pPr>
              <w:pStyle w:val="TAC"/>
            </w:pPr>
            <w:r>
              <w:rPr>
                <w:i/>
                <w:iCs/>
              </w:rPr>
              <w:t xml:space="preserve">fwVersion</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SERVICE_TYPES property</w:t>
            </w:r>
          </w:p>
        </w:tc>
        <w:tc>
          <w:tcPr/>
          <w:p>
            <w:pPr>
              <w:pStyle w:val="TAC"/>
            </w:pPr>
            <w:r>
              <w:rPr>
                <w:i/>
                <w:iCs/>
              </w:rPr>
              <w:t xml:space="preserve">deviceType</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SERVICE_MODEL property</w:t>
            </w:r>
          </w:p>
        </w:tc>
        <w:tc>
          <w:tcPr/>
          <w:p>
            <w:pPr>
              <w:pStyle w:val="TAC"/>
            </w:pPr>
            <w:r>
              <w:rPr>
                <w:i/>
                <w:iCs/>
              </w:rPr>
              <w:t xml:space="preserve">model</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r>
        <w:tc>
          <w:tcPr/>
          <w:p>
            <w:pPr>
              <w:pStyle w:val="TAC"/>
            </w:pPr>
            <w:r>
              <w:t xml:space="preserve">SERVICE_SERIAL_NUMBER property</w:t>
            </w:r>
          </w:p>
        </w:tc>
        <w:tc>
          <w:tcPr/>
          <w:p>
            <w:pPr>
              <w:pStyle w:val="TAC"/>
            </w:pPr>
            <w:r>
              <w:rPr>
                <w:i/>
                <w:iCs/>
              </w:rPr>
              <w:t xml:space="preserve">deviceLabel</w:t>
            </w:r>
            <w:r>
              <w:t xml:space="preserve"> </w:t>
            </w:r>
            <w:r>
              <w:t xml:space="preserve">attribute of</w:t>
            </w:r>
            <w:r>
              <w:t xml:space="preserve"> </w:t>
            </w:r>
            <w:r>
              <w:rPr>
                <w:i/>
                <w:iCs/>
              </w:rPr>
              <w:t xml:space="preserve">[deviceInfo]</w:t>
            </w:r>
            <w:r>
              <w:t xml:space="preserve"> </w:t>
            </w:r>
            <w:r>
              <w:t xml:space="preserve">resource</w:t>
            </w:r>
          </w:p>
        </w:tc>
        <w:tc>
          <w:tcPr/>
          <w:p>
            <w:pPr>
              <w:pStyle w:val="TAC"/>
            </w:pPr>
            <w:r>
              <w:t xml:space="preserve">-</w:t>
            </w:r>
          </w:p>
        </w:tc>
      </w:tr>
    </w:tbl>
    <w:p>
      <w:pPr>
        <w:spacing w:before="0" w:after="180"/>
      </w:pPr>
    </w:p>
    <w:bookmarkEnd w:id="18"/>
    <w:bookmarkStart w:id="20" w:name="function-service"/>
    <w:p>
      <w:pPr>
        <w:pStyle w:val="Heading2"/>
      </w:pPr>
      <w:r>
        <w:t>6.3</w:t>
        <w:tab/>
        <w:t xml:space="preserve">Function service</w:t>
      </w:r>
    </w:p>
    <w:bookmarkStart w:id="21" w:name="introduction-1"/>
    <w:p>
      <w:pPr>
        <w:pStyle w:val="Heading3"/>
      </w:pPr>
      <w:r>
        <w:t>6.3.1</w:t>
        <w:tab/>
        <w:t xml:space="preserve">Introduction</w:t>
      </w:r>
    </w:p>
    <w:p>
      <w:pPr>
        <w:pStyle w:val="Normal"/>
      </w:pPr>
      <w:r>
        <w:t xml:space="preserve">An OSGi function service maps to a specialized</w:t>
      </w:r>
      <w:r>
        <w:t xml:space="preserve"> </w:t>
      </w:r>
      <w:r>
        <w:rPr>
          <w:i/>
          <w:iCs/>
        </w:rPr>
        <w:t xml:space="preserve">&lt;flexContainer&gt;</w:t>
      </w:r>
      <w:r>
        <w:t xml:space="preserve"> </w:t>
      </w:r>
      <w:r>
        <w:t>resource that correspond to a moduleClass specified in oneM2M TS</w:t>
      </w:r>
      <w:r>
        <w:noBreakHyphen/>
      </w:r>
      <w:r>
        <w:t>0023</w:t>
      </w:r>
      <w:r>
        <w:t xml:space="preserve"> </w:t>
      </w:r>
      <w:hyperlink w:anchor="X265a31bd79b370d6ad9fbecf643e6fa5b1c09d5">
        <w:r>
          <w:rPr>
            <w:rStyle w:val="Normal"/>
          </w:rPr>
          <w:t xml:space="preserve">[1]</w:t>
        </w:r>
      </w:hyperlink>
      <w:r>
        <w:t xml:space="preserve">. An OSGi function service may be mapped to different</w:t>
      </w:r>
      <w:r>
        <w:t xml:space="preserve"> </w:t>
      </w:r>
      <w:r>
        <w:rPr>
          <w:i/>
          <w:iCs/>
        </w:rPr>
        <w:t xml:space="preserve">&lt;flexContainer&gt;</w:t>
      </w:r>
      <w:r>
        <w:t xml:space="preserve"> </w:t>
      </w:r>
      <w:r>
        <w:t xml:space="preserve">resources that correspond to different moduleClasses depending on the OSGi device service that the OSGi function service belongs to.</w:t>
      </w:r>
    </w:p>
    <w:p>
      <w:pPr>
        <w:pStyle w:val="TH"/>
      </w:pPr>
      <w:r>
        <w:t xml:space="preserve">Table 6.3.1-1: Mapping of OSGi function to oneM2M resources</w:t>
      </w:r>
    </w:p>
    <w:tbl>
      <w:tblPr>
        <w:tblStyle w:val="Table"/>
        <w:tblW w:type="pct" w:w="5000"/>
        <w:tblLayout w:type="fixed"/>
        <w:tblLook w:firstRow="1" w:lastRow="0" w:firstColumn="0" w:lastColumn="0" w:noHBand="0" w:noVBand="0" w:val="0020"/>
        <w:tblCaption w:val="Table 6.3.1-1: Mapping of OSGi function to oneM2M resource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OSGi function service</w:t>
            </w:r>
          </w:p>
        </w:tc>
        <w:tc>
          <w:tcPr/>
          <w:p>
            <w:pPr>
              <w:pStyle w:val="TAC"/>
            </w:pPr>
            <w:r>
              <w:t xml:space="preserve">moduleClass</w:t>
            </w:r>
            <w:r>
              <w:t xml:space="preserve"> </w:t>
            </w:r>
            <w:r>
              <w:rPr>
                <w:i/>
                <w:iCs/>
              </w:rPr>
              <w:t xml:space="preserve">&lt;flexContainer&gt;</w:t>
            </w:r>
            <w:r>
              <w:t xml:space="preserve"> </w:t>
            </w:r>
            <w:r>
              <w:t xml:space="preserve">resource</w:t>
            </w:r>
          </w:p>
        </w:tc>
        <w:tc>
          <w:tcPr/>
          <w:p>
            <w:pPr>
              <w:pStyle w:val="TAC"/>
            </w:pPr>
            <w:r>
              <w:t xml:space="preserve">The function service is mapped to moduleClass</w:t>
            </w:r>
            <w:r>
              <w:t xml:space="preserve"> </w:t>
            </w:r>
            <w:r>
              <w:rPr>
                <w:i/>
                <w:iCs/>
              </w:rPr>
              <w:t xml:space="preserve">&lt;flexContainer&gt;</w:t>
            </w:r>
            <w:r>
              <w:t xml:space="preserve"> </w:t>
            </w:r>
            <w:r>
              <w:t xml:space="preserve">resource.</w:t>
            </w:r>
          </w:p>
        </w:tc>
      </w:tr>
      <w:tr>
        <w:tc>
          <w:tcPr/>
          <w:p>
            <w:pPr>
              <w:pStyle w:val="TAC"/>
            </w:pPr>
            <w:r>
              <w:t xml:space="preserve">SERVICE_UID property</w:t>
            </w:r>
          </w:p>
        </w:tc>
        <w:tc>
          <w:tcPr/>
          <w:p>
            <w:pPr>
              <w:pStyle w:val="TAC"/>
            </w:pPr>
            <w:r>
              <w:t xml:space="preserve">See description</w:t>
            </w:r>
          </w:p>
        </w:tc>
        <w:tc>
          <w:tcPr/>
          <w:p>
            <w:pPr>
              <w:pStyle w:val="TAC"/>
            </w:pPr>
            <w:r>
              <w:t xml:space="preserve">Maps to resourceID of</w:t>
            </w:r>
            <w:r>
              <w:t xml:space="preserve"> </w:t>
            </w:r>
            <w:r>
              <w:rPr>
                <w:i/>
                <w:iCs/>
              </w:rPr>
              <w:t xml:space="preserve">&lt;flexContainer&gt;</w:t>
            </w:r>
            <w:r>
              <w:t xml:space="preserve"> </w:t>
            </w:r>
            <w:r>
              <w:t xml:space="preserve">resource. The resourceID is allocated by Hosting CSE. The mapping relationship is maintained by IPE internally.</w:t>
            </w:r>
          </w:p>
        </w:tc>
      </w:tr>
      <w:tr>
        <w:tc>
          <w:tcPr/>
          <w:p>
            <w:pPr>
              <w:pStyle w:val="TAC"/>
            </w:pPr>
            <w:r>
              <w:t xml:space="preserve">SERVICE_TYPE property</w:t>
            </w:r>
          </w:p>
        </w:tc>
        <w:tc>
          <w:tcPr/>
          <w:p>
            <w:pPr>
              <w:pStyle w:val="TAC"/>
            </w:pPr>
            <w:r>
              <w:t xml:space="preserve">See description</w:t>
            </w:r>
          </w:p>
        </w:tc>
        <w:tc>
          <w:tcPr/>
          <w:p>
            <w:pPr>
              <w:pStyle w:val="TAC"/>
            </w:pPr>
            <w:r>
              <w:t xml:space="preserve">Maps to containerDefinition of</w:t>
            </w:r>
            <w:r>
              <w:t xml:space="preserve"> </w:t>
            </w:r>
            <w:r>
              <w:rPr>
                <w:i/>
                <w:iCs/>
              </w:rPr>
              <w:t xml:space="preserve">&lt;flexContainer&gt;</w:t>
            </w:r>
            <w:r>
              <w:t xml:space="preserve"> </w:t>
            </w:r>
            <w:r>
              <w:t xml:space="preserve">resource and is maintained by IPE.</w:t>
            </w:r>
          </w:p>
        </w:tc>
      </w:tr>
      <w:tr>
        <w:tc>
          <w:tcPr/>
          <w:p>
            <w:pPr>
              <w:pStyle w:val="TAC"/>
            </w:pPr>
            <w:r>
              <w:t xml:space="preserve">SERVICE_VERSION property</w:t>
            </w:r>
          </w:p>
        </w:tc>
        <w:tc>
          <w:tcPr/>
          <w:p>
            <w:pPr>
              <w:pStyle w:val="TAC"/>
            </w:pPr>
            <w:r>
              <w:rPr>
                <w:i/>
                <w:iCs/>
              </w:rPr>
              <w:t xml:space="preserve">labels</w:t>
            </w:r>
            <w:r>
              <w:t xml:space="preserve"> </w:t>
            </w:r>
            <w:r>
              <w:t xml:space="preserve">attribute of the</w:t>
            </w:r>
            <w:r>
              <w:t xml:space="preserve"> </w:t>
            </w:r>
            <w:r>
              <w:rPr>
                <w:i/>
                <w:iCs/>
              </w:rPr>
              <w:t xml:space="preserve">&lt;flexContainer&gt;</w:t>
            </w:r>
            <w:r>
              <w:t xml:space="preserve"> </w:t>
            </w:r>
            <w:r>
              <w:t xml:space="preserve">resource</w:t>
            </w:r>
          </w:p>
        </w:tc>
        <w:tc>
          <w:tcPr/>
          <w:p>
            <w:pPr>
              <w:pStyle w:val="TAC"/>
            </w:pPr>
            <w:r>
              <w:t xml:space="preserve">Versioning information of the OSGi service is mapped to</w:t>
            </w:r>
            <w:r>
              <w:t xml:space="preserve"> </w:t>
            </w:r>
            <w:r>
              <w:rPr>
                <w:i/>
                <w:iCs/>
              </w:rPr>
              <w:t xml:space="preserve">labels</w:t>
            </w:r>
            <w:r>
              <w:t xml:space="preserve"> </w:t>
            </w:r>
            <w:r>
              <w:t xml:space="preserve">attribute of the</w:t>
            </w:r>
            <w:r>
              <w:t xml:space="preserve"> </w:t>
            </w:r>
            <w:r>
              <w:rPr>
                <w:i/>
                <w:iCs/>
              </w:rPr>
              <w:t xml:space="preserve">&lt;flexContainer&gt;</w:t>
            </w:r>
            <w:r>
              <w:t xml:space="preserve"> </w:t>
            </w:r>
            <w:r>
              <w:t xml:space="preserve">resource.</w:t>
            </w:r>
          </w:p>
        </w:tc>
      </w:tr>
      <w:tr>
        <w:tc>
          <w:tcPr/>
          <w:p>
            <w:pPr>
              <w:pStyle w:val="TAC"/>
            </w:pPr>
            <w:r>
              <w:t xml:space="preserve">SERVICE_DEVICE_UID property</w:t>
            </w:r>
          </w:p>
        </w:tc>
        <w:tc>
          <w:tcPr/>
          <w:p>
            <w:pPr>
              <w:pStyle w:val="TAC"/>
            </w:pPr>
            <w:r>
              <w:t xml:space="preserve">See description</w:t>
            </w:r>
          </w:p>
        </w:tc>
        <w:tc>
          <w:tcPr/>
          <w:p>
            <w:pPr>
              <w:pStyle w:val="TAC"/>
            </w:pPr>
            <w:r>
              <w:t xml:space="preserve">Maintained by the parent-child relationship of device model</w:t>
            </w:r>
            <w:r>
              <w:t xml:space="preserve"> </w:t>
            </w:r>
            <w:r>
              <w:rPr>
                <w:i/>
                <w:iCs/>
              </w:rPr>
              <w:t xml:space="preserve">&lt;flexContainer&gt;</w:t>
            </w:r>
            <w:r>
              <w:t xml:space="preserve"> </w:t>
            </w:r>
            <w:r>
              <w:t xml:space="preserve">and moduleClass</w:t>
            </w:r>
            <w:r>
              <w:t xml:space="preserve"> </w:t>
            </w:r>
            <w:r>
              <w:rPr>
                <w:i/>
                <w:iCs/>
              </w:rPr>
              <w:t xml:space="preserve">&lt;flexContainer&gt;</w:t>
            </w:r>
            <w:r>
              <w:t xml:space="preserve">.</w:t>
            </w:r>
          </w:p>
        </w:tc>
      </w:tr>
      <w:tr>
        <w:tc>
          <w:tcPr/>
          <w:p>
            <w:pPr>
              <w:pStyle w:val="TAC"/>
            </w:pPr>
            <w:r>
              <w:t xml:space="preserve">SERVICE_REFERENCE_UIDS property</w:t>
            </w:r>
          </w:p>
        </w:tc>
        <w:tc>
          <w:tcPr/>
          <w:p>
            <w:pPr>
              <w:pStyle w:val="TAC"/>
            </w:pPr>
            <w:r>
              <w:rPr>
                <w:i/>
                <w:iCs/>
              </w:rPr>
              <w:t xml:space="preserve">labels</w:t>
            </w:r>
            <w:r>
              <w:t xml:space="preserve"> </w:t>
            </w:r>
            <w:r>
              <w:t xml:space="preserve">attribute of the</w:t>
            </w:r>
            <w:r>
              <w:t xml:space="preserve"> </w:t>
            </w:r>
            <w:r>
              <w:rPr>
                <w:i/>
                <w:iCs/>
              </w:rPr>
              <w:t xml:space="preserve">&lt;flexContainer&gt;</w:t>
            </w:r>
            <w:r>
              <w:t xml:space="preserve"> </w:t>
            </w:r>
            <w:r>
              <w:t xml:space="preserve">resource</w:t>
            </w:r>
          </w:p>
        </w:tc>
        <w:tc>
          <w:tcPr/>
          <w:p>
            <w:pPr>
              <w:pStyle w:val="TAC"/>
            </w:pPr>
            <w:r>
              <w:t xml:space="preserve">Mappes to the</w:t>
            </w:r>
            <w:r>
              <w:t xml:space="preserve"> </w:t>
            </w:r>
            <w:r>
              <w:rPr>
                <w:i/>
                <w:iCs/>
              </w:rPr>
              <w:t xml:space="preserve">labels</w:t>
            </w:r>
            <w:r>
              <w:t xml:space="preserve"> </w:t>
            </w:r>
            <w:r>
              <w:t xml:space="preserve">attribute of the</w:t>
            </w:r>
            <w:r>
              <w:t xml:space="preserve"> </w:t>
            </w:r>
            <w:r>
              <w:rPr>
                <w:i/>
                <w:iCs/>
              </w:rPr>
              <w:t xml:space="preserve">&lt;flexContainer&gt;</w:t>
            </w:r>
            <w:r>
              <w:t xml:space="preserve"> </w:t>
            </w:r>
            <w:r>
              <w:t xml:space="preserve">resource.</w:t>
            </w:r>
          </w:p>
        </w:tc>
      </w:tr>
      <w:tr>
        <w:tc>
          <w:tcPr/>
          <w:p>
            <w:pPr>
              <w:pStyle w:val="TAC"/>
            </w:pPr>
            <w:r>
              <w:t xml:space="preserve">SERVICE_DESCRIPTION property</w:t>
            </w:r>
          </w:p>
        </w:tc>
        <w:tc>
          <w:tcPr/>
          <w:p>
            <w:pPr>
              <w:pStyle w:val="TAC"/>
            </w:pPr>
            <w:r>
              <w:rPr>
                <w:i/>
                <w:iCs/>
              </w:rPr>
              <w:t xml:space="preserve">labels</w:t>
            </w:r>
            <w:r>
              <w:t xml:space="preserve"> </w:t>
            </w:r>
            <w:r>
              <w:t xml:space="preserve">attribute of</w:t>
            </w:r>
            <w:r>
              <w:t xml:space="preserve"> </w:t>
            </w:r>
            <w:r>
              <w:rPr>
                <w:i/>
                <w:iCs/>
              </w:rPr>
              <w:t xml:space="preserve">&lt;flexContainer&gt;</w:t>
            </w:r>
            <w:r>
              <w:t xml:space="preserve"> </w:t>
            </w:r>
            <w:r>
              <w:t xml:space="preserve">resource</w:t>
            </w:r>
          </w:p>
        </w:tc>
        <w:tc>
          <w:tcPr/>
          <w:p>
            <w:pPr>
              <w:pStyle w:val="TAC"/>
            </w:pPr>
            <w:r>
              <w:t xml:space="preserve">The description of the service maps to the labels attribute of</w:t>
            </w:r>
            <w:r>
              <w:t xml:space="preserve"> </w:t>
            </w:r>
            <w:r>
              <w:rPr>
                <w:i/>
                <w:iCs/>
              </w:rPr>
              <w:t xml:space="preserve">&lt;flexContainer&gt;</w:t>
            </w:r>
            <w:r>
              <w:t xml:space="preserve"> </w:t>
            </w:r>
            <w:r>
              <w:t xml:space="preserve">resource.</w:t>
            </w:r>
          </w:p>
        </w:tc>
      </w:tr>
      <w:tr>
        <w:tc>
          <w:tcPr/>
          <w:p>
            <w:pPr>
              <w:pStyle w:val="TAC"/>
            </w:pPr>
            <w:r>
              <w:t xml:space="preserve">SERVICE_OPERATION_NAMES property</w:t>
            </w:r>
          </w:p>
        </w:tc>
        <w:tc>
          <w:tcPr/>
          <w:p>
            <w:pPr>
              <w:pStyle w:val="TAC"/>
            </w:pPr>
            <w:r>
              <w:rPr>
                <w:i/>
                <w:iCs/>
              </w:rPr>
              <w:t xml:space="preserve">&lt;flexContainer&gt;</w:t>
            </w:r>
            <w:r>
              <w:t xml:space="preserve"> </w:t>
            </w:r>
            <w:r>
              <w:t xml:space="preserve">resource for action</w:t>
            </w:r>
          </w:p>
        </w:tc>
        <w:tc>
          <w:tcPr/>
          <w:p>
            <w:pPr>
              <w:pStyle w:val="TAC"/>
            </w:pPr>
          </w:p>
        </w:tc>
      </w:tr>
      <w:tr>
        <w:tc>
          <w:tcPr/>
          <w:p>
            <w:pPr>
              <w:pStyle w:val="TAC"/>
            </w:pPr>
            <w:r>
              <w:t xml:space="preserve">SERVICE_PROPERTY_NAMES property</w:t>
            </w:r>
          </w:p>
        </w:tc>
        <w:tc>
          <w:tcPr/>
          <w:p>
            <w:pPr>
              <w:pStyle w:val="TAC"/>
            </w:pPr>
            <w:r>
              <w:rPr>
                <w:i/>
                <w:iCs/>
              </w:rPr>
              <w:t xml:space="preserve">&lt;flexContainer&gt;</w:t>
            </w:r>
            <w:r>
              <w:t xml:space="preserve"> </w:t>
            </w:r>
            <w:r>
              <w:t xml:space="preserve">resource for property</w:t>
            </w:r>
          </w:p>
        </w:tc>
        <w:tc>
          <w:tcPr/>
          <w:p>
            <w:pPr>
              <w:pStyle w:val="TAC"/>
            </w:pPr>
          </w:p>
        </w:tc>
      </w:tr>
    </w:tbl>
    <w:p>
      <w:pPr>
        <w:spacing w:before="0" w:after="180"/>
      </w:pPr>
    </w:p>
    <w:bookmarkEnd w:id="19"/>
    <w:bookmarkStart w:id="22" w:name="booleancontrol-function"/>
    <w:p>
      <w:pPr>
        <w:pStyle w:val="Heading3"/>
      </w:pPr>
      <w:r>
        <w:t>6.3.2</w:t>
        <w:tab/>
        <w:t xml:space="preserve">BooleanControl Function</w:t>
      </w:r>
    </w:p>
    <w:p>
      <w:pPr>
        <w:pStyle w:val="Normal"/>
      </w:pPr>
      <w:r>
        <w:t>BooleanControl function is used for switch</w:t>
      </w:r>
      <w:r>
        <w:noBreakHyphen/>
      </w:r>
      <w:r>
        <w:t>type of device functions like a light, door, window or power socket. It maps to the binarySwitch</w:t>
      </w:r>
      <w:r>
        <w:t xml:space="preserve"> </w:t>
      </w:r>
      <w:r>
        <w:rPr>
          <w:i/>
          <w:iCs/>
        </w:rPr>
        <w:t xml:space="preserve">&lt;flexContainer&gt;</w:t>
      </w:r>
      <w:r>
        <w:t xml:space="preserve"> </w:t>
      </w:r>
      <w:r>
        <w:t xml:space="preserve">that is a moduleClass.</w:t>
      </w:r>
    </w:p>
    <w:p>
      <w:pPr>
        <w:pStyle w:val="TH"/>
      </w:pPr>
      <w:r>
        <w:t xml:space="preserve">Table 6.3.2-1: Mapping of BooleanControl function to binarySwitch moduleClass</w:t>
      </w:r>
    </w:p>
    <w:tbl>
      <w:tblPr>
        <w:tblStyle w:val="Table"/>
        <w:tblW w:type="auto" w:w="0"/>
        <w:tblLook w:firstRow="1" w:lastRow="0" w:firstColumn="0" w:lastColumn="0" w:noHBand="0" w:noVBand="0" w:val="0020"/>
        <w:tblCaption w:val="Table 6.3.2-1: Mapping of BooleanControl function to binarySwitch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inverse</w:t>
            </w:r>
          </w:p>
        </w:tc>
        <w:tc>
          <w:tcPr/>
          <w:p>
            <w:pPr>
              <w:pStyle w:val="TAC"/>
            </w:pPr>
            <w:r>
              <w:rPr>
                <w:i/>
                <w:iCs/>
              </w:rPr>
              <w:t xml:space="preserve">toggle</w:t>
            </w:r>
          </w:p>
        </w:tc>
        <w:tc>
          <w:tcPr/>
          <w:p>
            <w:pPr>
              <w:pStyle w:val="TAC"/>
            </w:pPr>
            <w:r>
              <w:t xml:space="preserve">Toggle the switch.</w:t>
            </w:r>
          </w:p>
        </w:tc>
      </w:tr>
      <w:tr>
        <w:tc>
          <w:tcPr/>
          <w:p>
            <w:pPr>
              <w:pStyle w:val="TAC"/>
            </w:pPr>
            <w:r>
              <w:t xml:space="preserve">setTrue</w:t>
            </w:r>
          </w:p>
        </w:tc>
        <w:tc>
          <w:tcPr/>
          <w:p>
            <w:pPr>
              <w:pStyle w:val="TAC"/>
            </w:pPr>
            <w:r>
              <w:t xml:space="preserve">Update the</w:t>
            </w:r>
            <w:r>
              <w:t xml:space="preserve"> </w:t>
            </w:r>
            <w:r>
              <w:rPr>
                <w:i/>
                <w:iCs/>
              </w:rPr>
              <w:t xml:space="preserve">powerState</w:t>
            </w:r>
            <w:r>
              <w:t xml:space="preserve"> </w:t>
            </w:r>
            <w:r>
              <w:t xml:space="preserve">to true</w:t>
            </w:r>
          </w:p>
        </w:tc>
        <w:tc>
          <w:tcPr/>
          <w:p>
            <w:pPr>
              <w:pStyle w:val="TAC"/>
            </w:pPr>
          </w:p>
        </w:tc>
      </w:tr>
      <w:tr>
        <w:tc>
          <w:tcPr/>
          <w:p>
            <w:pPr>
              <w:pStyle w:val="TAC"/>
            </w:pPr>
            <w:r>
              <w:t xml:space="preserve">setFalse</w:t>
            </w:r>
          </w:p>
        </w:tc>
        <w:tc>
          <w:tcPr/>
          <w:p>
            <w:pPr>
              <w:pStyle w:val="TAC"/>
            </w:pPr>
            <w:r>
              <w:t xml:space="preserve">Update the</w:t>
            </w:r>
            <w:r>
              <w:t xml:space="preserve"> </w:t>
            </w:r>
            <w:r>
              <w:rPr>
                <w:i/>
                <w:iCs/>
              </w:rPr>
              <w:t xml:space="preserve">powerState</w:t>
            </w:r>
            <w:r>
              <w:t xml:space="preserve"> </w:t>
            </w:r>
            <w:r>
              <w:t xml:space="preserve">to false</w:t>
            </w:r>
          </w:p>
        </w:tc>
        <w:tc>
          <w:tcPr/>
          <w:p>
            <w:pPr>
              <w:pStyle w:val="TAC"/>
            </w:pPr>
          </w:p>
        </w:tc>
      </w:tr>
      <w:tr>
        <w:tc>
          <w:tcPr/>
          <w:p>
            <w:pPr>
              <w:pStyle w:val="TAC"/>
            </w:pPr>
            <w:r>
              <w:t xml:space="preserve">data</w:t>
            </w:r>
          </w:p>
        </w:tc>
        <w:tc>
          <w:tcPr/>
          <w:p>
            <w:pPr>
              <w:pStyle w:val="TAC"/>
            </w:pPr>
            <w:r>
              <w:rPr>
                <w:i/>
                <w:iCs/>
              </w:rPr>
              <w:t xml:space="preserve">powerState</w:t>
            </w:r>
          </w:p>
        </w:tc>
        <w:tc>
          <w:tcPr/>
          <w:p>
            <w:pPr>
              <w:pStyle w:val="TAC"/>
            </w:pPr>
            <w:r>
              <w:t xml:space="preserve">The current state of the switch.</w:t>
            </w:r>
          </w:p>
        </w:tc>
      </w:tr>
    </w:tbl>
    <w:p>
      <w:pPr>
        <w:spacing w:before="0" w:after="180"/>
      </w:pPr>
    </w:p>
    <w:bookmarkEnd w:id="20"/>
    <w:bookmarkStart w:id="23" w:name="booleansensor-function"/>
    <w:p>
      <w:pPr>
        <w:pStyle w:val="Heading3"/>
      </w:pPr>
      <w:r>
        <w:t>6.3.3</w:t>
        <w:tab/>
        <w:t xml:space="preserve">BooleanSensor Function</w:t>
      </w:r>
    </w:p>
    <w:p>
      <w:pPr>
        <w:pStyle w:val="Normal"/>
      </w:pPr>
      <w:r>
        <w:t xml:space="preserve">BooleanSensor function is used to report the data of a device function such as a light, door, window or power socket. It maps to several different</w:t>
      </w:r>
      <w:r>
        <w:t xml:space="preserve"> </w:t>
      </w:r>
      <w:r>
        <w:rPr>
          <w:i/>
          <w:iCs/>
        </w:rPr>
        <w:t xml:space="preserve">&lt;flexContainer&gt;</w:t>
      </w:r>
      <w:r>
        <w:t xml:space="preserve"> </w:t>
      </w:r>
      <w:r>
        <w:t xml:space="preserve">resources that are moduleClass. It is based on the device type which determines the specialization of</w:t>
      </w:r>
      <w:r>
        <w:t xml:space="preserve"> </w:t>
      </w:r>
      <w:r>
        <w:rPr>
          <w:i/>
          <w:iCs/>
        </w:rPr>
        <w:t xml:space="preserve">&lt;flexContainer&gt;</w:t>
      </w:r>
      <w:r>
        <w:t xml:space="preserve"> </w:t>
      </w:r>
      <w:r>
        <w:t xml:space="preserve">to be mapped to.</w:t>
      </w:r>
    </w:p>
    <w:p>
      <w:pPr>
        <w:pStyle w:val="TH"/>
      </w:pPr>
      <w:r>
        <w:t xml:space="preserve">Table 6.3.3-1: Mapping of BooleanSensor function to binarySwitch moduleClass</w:t>
      </w:r>
    </w:p>
    <w:tbl>
      <w:tblPr>
        <w:tblStyle w:val="Table"/>
        <w:tblW w:type="auto" w:w="0"/>
        <w:tblLook w:firstRow="1" w:lastRow="0" w:firstColumn="0" w:lastColumn="0" w:noHBand="0" w:noVBand="0" w:val="0020"/>
        <w:tblCaption w:val="Table 6.3.3-1: Mapping of BooleanSensor function to binarySwitch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powerState</w:t>
            </w:r>
          </w:p>
        </w:tc>
        <w:tc>
          <w:tcPr/>
          <w:p>
            <w:pPr>
              <w:pStyle w:val="TAC"/>
            </w:pPr>
          </w:p>
        </w:tc>
      </w:tr>
    </w:tbl>
    <w:p/>
    <w:p>
      <w:pPr>
        <w:pStyle w:val="TH"/>
      </w:pPr>
      <w:r>
        <w:t xml:space="preserve">Table 6.3.3-2: Mapping of BooleanSensor function to doorLock moduleClass</w:t>
      </w:r>
    </w:p>
    <w:tbl>
      <w:tblPr>
        <w:tblStyle w:val="Table"/>
        <w:tblW w:type="auto" w:w="0"/>
        <w:tblLook w:firstRow="1" w:lastRow="0" w:firstColumn="0" w:lastColumn="0" w:noHBand="0" w:noVBand="0" w:val="0020"/>
        <w:tblCaption w:val="Table 6.3.3-2: Mapping of BooleanSensor function to doorLock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doorLock</w:t>
            </w:r>
          </w:p>
        </w:tc>
        <w:tc>
          <w:tcPr/>
          <w:p>
            <w:pPr>
              <w:pStyle w:val="TAC"/>
            </w:pPr>
          </w:p>
        </w:tc>
      </w:tr>
    </w:tbl>
    <w:p/>
    <w:p>
      <w:pPr>
        <w:pStyle w:val="TH"/>
      </w:pPr>
      <w:r>
        <w:t xml:space="preserve">Table 6.3.3-3: Mapping of BooleanSensor function to boiler moduleClass</w:t>
      </w:r>
    </w:p>
    <w:tbl>
      <w:tblPr>
        <w:tblStyle w:val="Table"/>
        <w:tblW w:type="auto" w:w="0"/>
        <w:tblLook w:firstRow="1" w:lastRow="0" w:firstColumn="0" w:lastColumn="0" w:noHBand="0" w:noVBand="0" w:val="0020"/>
        <w:tblCaption w:val="Table 6.3.3-3: Mapping of BooleanSensor function to boiler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status</w:t>
            </w:r>
          </w:p>
        </w:tc>
        <w:tc>
          <w:tcPr/>
          <w:p>
            <w:pPr>
              <w:pStyle w:val="TAC"/>
            </w:pPr>
          </w:p>
        </w:tc>
      </w:tr>
    </w:tbl>
    <w:p/>
    <w:p>
      <w:pPr>
        <w:pStyle w:val="TH"/>
      </w:pPr>
      <w:r>
        <w:t xml:space="preserve">Table 6.3.3-4: Mapping of BooleanSensor function to waterSensor moduleClass</w:t>
      </w:r>
    </w:p>
    <w:tbl>
      <w:tblPr>
        <w:tblStyle w:val="Table"/>
        <w:tblW w:type="auto" w:w="0"/>
        <w:tblLook w:firstRow="1" w:lastRow="0" w:firstColumn="0" w:lastColumn="0" w:noHBand="0" w:noVBand="0" w:val="0020"/>
        <w:tblCaption w:val="Table 6.3.3-4: Mapping of BooleanSensor function to waterSensor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alarm</w:t>
            </w:r>
          </w:p>
        </w:tc>
        <w:tc>
          <w:tcPr/>
          <w:p>
            <w:pPr>
              <w:pStyle w:val="TAC"/>
            </w:pPr>
          </w:p>
        </w:tc>
      </w:tr>
    </w:tbl>
    <w:p>
      <w:pPr>
        <w:spacing w:before="0" w:after="180"/>
      </w:pPr>
    </w:p>
    <w:bookmarkEnd w:id="21"/>
    <w:bookmarkStart w:id="24" w:name="multilevelcontrol-function"/>
    <w:p>
      <w:pPr>
        <w:pStyle w:val="Heading3"/>
      </w:pPr>
      <w:r>
        <w:t>6.3.4</w:t>
        <w:tab/>
        <w:t xml:space="preserve">MultiLevelControl Function</w:t>
      </w:r>
    </w:p>
    <w:p>
      <w:pPr>
        <w:pStyle w:val="Normal"/>
      </w:pPr>
      <w:r>
        <w:t xml:space="preserve">The MultiLevelControl Function maps to different moduleClass depending on the device type.</w:t>
      </w:r>
    </w:p>
    <w:p>
      <w:pPr>
        <w:pStyle w:val="TH"/>
      </w:pPr>
      <w:r>
        <w:t xml:space="preserve">Table 6.3.4-1: Mapping of MultiLevelControl function to brightness moduleClass</w:t>
      </w:r>
    </w:p>
    <w:tbl>
      <w:tblPr>
        <w:tblStyle w:val="Table"/>
        <w:tblW w:type="auto" w:w="0"/>
        <w:tblLook w:firstRow="1" w:lastRow="0" w:firstColumn="0" w:lastColumn="0" w:noHBand="0" w:noVBand="0" w:val="0020"/>
        <w:tblCaption w:val="Table 6.3.4-1: Mapping of MultiLevelControl function to brightness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brightness</w:t>
            </w:r>
          </w:p>
        </w:tc>
        <w:tc>
          <w:tcPr/>
          <w:p>
            <w:pPr>
              <w:pStyle w:val="TAC"/>
            </w:pPr>
          </w:p>
        </w:tc>
      </w:tr>
    </w:tbl>
    <w:p/>
    <w:p>
      <w:pPr>
        <w:pStyle w:val="TH"/>
      </w:pPr>
      <w:r>
        <w:t xml:space="preserve">Table 6.3.4-2: Mapping of MultiLevelControl function to foaming moduleClass</w:t>
      </w:r>
    </w:p>
    <w:tbl>
      <w:tblPr>
        <w:tblStyle w:val="Table"/>
        <w:tblW w:type="auto" w:w="0"/>
        <w:tblLook w:firstRow="1" w:lastRow="0" w:firstColumn="0" w:lastColumn="0" w:noHBand="0" w:noVBand="0" w:val="0020"/>
        <w:tblCaption w:val="Table 6.3.4-2: Mapping of MultiLevelControl function to foaming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foamingStrength</w:t>
            </w:r>
          </w:p>
        </w:tc>
        <w:tc>
          <w:tcPr/>
          <w:p>
            <w:pPr>
              <w:pStyle w:val="TAC"/>
            </w:pPr>
          </w:p>
        </w:tc>
      </w:tr>
    </w:tbl>
    <w:p>
      <w:pPr>
        <w:spacing w:before="0" w:after="180"/>
      </w:pPr>
    </w:p>
    <w:bookmarkEnd w:id="22"/>
    <w:bookmarkStart w:id="25" w:name="multilevelsensor-function"/>
    <w:p>
      <w:pPr>
        <w:pStyle w:val="Heading3"/>
      </w:pPr>
      <w:r>
        <w:t>6.3.5</w:t>
        <w:tab/>
        <w:t xml:space="preserve">MultiLevelSensor Function</w:t>
      </w:r>
    </w:p>
    <w:p>
      <w:pPr>
        <w:pStyle w:val="Normal"/>
      </w:pPr>
      <w:r>
        <w:t xml:space="preserve">The MultiLevelSensor Function maps to different moduleClass depending on the device type.</w:t>
      </w:r>
    </w:p>
    <w:p>
      <w:pPr>
        <w:pStyle w:val="TH"/>
      </w:pPr>
      <w:r>
        <w:t xml:space="preserve">Table 6.3.5-1: Mapping of MultiLevelControl function to height moduleClass</w:t>
      </w:r>
    </w:p>
    <w:tbl>
      <w:tblPr>
        <w:tblStyle w:val="Table"/>
        <w:tblW w:type="auto" w:w="0"/>
        <w:tblLook w:firstRow="1" w:lastRow="0" w:firstColumn="0" w:lastColumn="0" w:noHBand="0" w:noVBand="0" w:val="0020"/>
        <w:tblCaption w:val="Table 6.3.5-1: Mapping of MultiLevelControl function to height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height</w:t>
            </w:r>
          </w:p>
        </w:tc>
        <w:tc>
          <w:tcPr/>
          <w:p>
            <w:pPr>
              <w:pStyle w:val="TAC"/>
            </w:pPr>
          </w:p>
        </w:tc>
      </w:tr>
    </w:tbl>
    <w:p/>
    <w:p>
      <w:pPr>
        <w:pStyle w:val="TH"/>
      </w:pPr>
      <w:r>
        <w:t xml:space="preserve">Table 6.3.5-2: Mapping of MultiLevelControl function to weight moduleClass</w:t>
      </w:r>
    </w:p>
    <w:tbl>
      <w:tblPr>
        <w:tblStyle w:val="Table"/>
        <w:tblW w:type="auto" w:w="0"/>
        <w:tblLook w:firstRow="1" w:lastRow="0" w:firstColumn="0" w:lastColumn="0" w:noHBand="0" w:noVBand="0" w:val="0020"/>
        <w:tblCaption w:val="Table 6.3.5-2: Mapping of MultiLevelControl function to weight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weight</w:t>
            </w:r>
          </w:p>
        </w:tc>
        <w:tc>
          <w:tcPr/>
          <w:p>
            <w:pPr>
              <w:pStyle w:val="TAC"/>
            </w:pPr>
          </w:p>
        </w:tc>
      </w:tr>
    </w:tbl>
    <w:p/>
    <w:p>
      <w:pPr>
        <w:pStyle w:val="TH"/>
      </w:pPr>
      <w:r>
        <w:t xml:space="preserve">Table 6.3.5-3: Mapping of MultiLevelControl function to liquidRemaining moduleClass</w:t>
      </w:r>
    </w:p>
    <w:tbl>
      <w:tblPr>
        <w:tblStyle w:val="Table"/>
        <w:tblW w:type="auto" w:w="0"/>
        <w:tblLook w:firstRow="1" w:lastRow="0" w:firstColumn="0" w:lastColumn="0" w:noHBand="0" w:noVBand="0" w:val="0020"/>
        <w:tblCaption w:val="Table 6.3.5-3: Mapping of MultiLevelControl function to liquidRemaining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liquidRemaining</w:t>
            </w:r>
          </w:p>
        </w:tc>
        <w:tc>
          <w:tcPr/>
          <w:p>
            <w:pPr>
              <w:pStyle w:val="TAC"/>
            </w:pPr>
          </w:p>
        </w:tc>
      </w:tr>
    </w:tbl>
    <w:p/>
    <w:p>
      <w:pPr>
        <w:pStyle w:val="TH"/>
      </w:pPr>
      <w:r>
        <w:t xml:space="preserve">Table 6.3.5-4: Mapping of MultiLevelControl function to brightness moduleClass</w:t>
      </w:r>
    </w:p>
    <w:tbl>
      <w:tblPr>
        <w:tblStyle w:val="Table"/>
        <w:tblW w:type="auto" w:w="0"/>
        <w:tblLook w:firstRow="1" w:lastRow="0" w:firstColumn="0" w:lastColumn="0" w:noHBand="0" w:noVBand="0" w:val="0020"/>
        <w:tblCaption w:val="Table 6.3.5-4: Mapping of MultiLevelControl function to brightness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brightness</w:t>
            </w:r>
          </w:p>
        </w:tc>
        <w:tc>
          <w:tcPr/>
          <w:p>
            <w:pPr>
              <w:pStyle w:val="TAC"/>
            </w:pPr>
          </w:p>
        </w:tc>
      </w:tr>
    </w:tbl>
    <w:p/>
    <w:p>
      <w:pPr>
        <w:pStyle w:val="TH"/>
      </w:pPr>
      <w:r>
        <w:t xml:space="preserve">Table 6.3.5-5: Mapping of MultiLevelControl function to foaming moduleClass</w:t>
      </w:r>
    </w:p>
    <w:tbl>
      <w:tblPr>
        <w:tblStyle w:val="Table"/>
        <w:tblW w:type="auto" w:w="0"/>
        <w:tblLook w:firstRow="1" w:lastRow="0" w:firstColumn="0" w:lastColumn="0" w:noHBand="0" w:noVBand="0" w:val="0020"/>
        <w:tblCaption w:val="Table 6.3.5-5: Mapping of MultiLevelControl function to foaming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data</w:t>
            </w:r>
          </w:p>
        </w:tc>
        <w:tc>
          <w:tcPr/>
          <w:p>
            <w:pPr>
              <w:pStyle w:val="TAC"/>
            </w:pPr>
            <w:r>
              <w:rPr>
                <w:i/>
                <w:iCs/>
              </w:rPr>
              <w:t xml:space="preserve">foamingStrength</w:t>
            </w:r>
          </w:p>
        </w:tc>
        <w:tc>
          <w:tcPr/>
          <w:p>
            <w:pPr>
              <w:pStyle w:val="TAC"/>
            </w:pPr>
          </w:p>
        </w:tc>
      </w:tr>
    </w:tbl>
    <w:p>
      <w:pPr>
        <w:spacing w:before="0" w:after="180"/>
      </w:pPr>
    </w:p>
    <w:bookmarkEnd w:id="23"/>
    <w:bookmarkStart w:id="26" w:name="meter-function"/>
    <w:p>
      <w:pPr>
        <w:pStyle w:val="Heading3"/>
      </w:pPr>
      <w:r>
        <w:t>6.3.6</w:t>
        <w:tab/>
        <w:t xml:space="preserve">Meter Function</w:t>
      </w:r>
    </w:p>
    <w:p>
      <w:pPr>
        <w:pStyle w:val="Normal"/>
      </w:pPr>
      <w:r>
        <w:t xml:space="preserve">The Meter Function maps to different moduleClass depending on the device type.</w:t>
      </w:r>
    </w:p>
    <w:p>
      <w:pPr>
        <w:pStyle w:val="TH"/>
      </w:pPr>
      <w:r>
        <w:t xml:space="preserve">Table 6.3.6-1: Mapping of Meter function to energyConsuption moduleClass</w:t>
      </w:r>
    </w:p>
    <w:tbl>
      <w:tblPr>
        <w:tblStyle w:val="Table"/>
        <w:tblW w:type="auto" w:w="0"/>
        <w:tblLook w:firstRow="1" w:lastRow="0" w:firstColumn="0" w:lastColumn="0" w:noHBand="0" w:noVBand="0" w:val="0020"/>
        <w:tblCaption w:val="Table 6.3.6-1: Mapping of Meter function to energyConsuption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current</w:t>
            </w:r>
          </w:p>
        </w:tc>
        <w:tc>
          <w:tcPr/>
          <w:p>
            <w:pPr>
              <w:pStyle w:val="TAC"/>
            </w:pPr>
            <w:r>
              <w:rPr>
                <w:i/>
                <w:iCs/>
              </w:rPr>
              <w:t xml:space="preserve">roundingEnergyConsumption</w:t>
            </w:r>
          </w:p>
        </w:tc>
        <w:tc>
          <w:tcPr/>
          <w:p>
            <w:pPr>
              <w:pStyle w:val="TAC"/>
            </w:pPr>
          </w:p>
        </w:tc>
      </w:tr>
      <w:tr>
        <w:tc>
          <w:tcPr/>
          <w:p>
            <w:pPr>
              <w:pStyle w:val="TAC"/>
            </w:pPr>
            <w:r>
              <w:t xml:space="preserve">total</w:t>
            </w:r>
          </w:p>
        </w:tc>
        <w:tc>
          <w:tcPr/>
          <w:p>
            <w:pPr>
              <w:pStyle w:val="TAC"/>
            </w:pPr>
            <w:r>
              <w:rPr>
                <w:i/>
                <w:iCs/>
              </w:rPr>
              <w:t xml:space="preserve">absoluteEnergyConsumption</w:t>
            </w:r>
          </w:p>
        </w:tc>
        <w:tc>
          <w:tcPr/>
          <w:p>
            <w:pPr>
              <w:pStyle w:val="TAC"/>
            </w:pPr>
          </w:p>
        </w:tc>
      </w:tr>
    </w:tbl>
    <w:p>
      <w:pPr>
        <w:spacing w:before="0" w:after="180"/>
      </w:pPr>
    </w:p>
    <w:bookmarkEnd w:id="24"/>
    <w:bookmarkStart w:id="27" w:name="alarm-function"/>
    <w:p>
      <w:pPr>
        <w:pStyle w:val="Heading3"/>
      </w:pPr>
      <w:r>
        <w:t>6.3.7</w:t>
        <w:tab/>
        <w:t xml:space="preserve">Alarm Function</w:t>
      </w:r>
    </w:p>
    <w:p>
      <w:pPr>
        <w:pStyle w:val="Normal"/>
      </w:pPr>
      <w:r>
        <w:t xml:space="preserve">The Alarm Function maps to different moduleClass depending on the device type.</w:t>
      </w:r>
    </w:p>
    <w:p>
      <w:pPr>
        <w:pStyle w:val="TH"/>
      </w:pPr>
      <w:r>
        <w:t xml:space="preserve">Table 6.3.7-1: Mapping of Alarm function to motionSensor moduleClass</w:t>
      </w:r>
    </w:p>
    <w:tbl>
      <w:tblPr>
        <w:tblStyle w:val="Table"/>
        <w:tblW w:type="auto" w:w="0"/>
        <w:tblLook w:firstRow="1" w:lastRow="0" w:firstColumn="0" w:lastColumn="0" w:noHBand="0" w:noVBand="0" w:val="0020"/>
        <w:tblCaption w:val="Table 6.3.7-1: Mapping of Alarm function to motionSensor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alarm</w:t>
            </w:r>
          </w:p>
        </w:tc>
        <w:tc>
          <w:tcPr/>
          <w:p>
            <w:pPr>
              <w:pStyle w:val="TAC"/>
            </w:pPr>
            <w:r>
              <w:rPr>
                <w:i/>
                <w:iCs/>
              </w:rPr>
              <w:t xml:space="preserve">alarm</w:t>
            </w:r>
          </w:p>
        </w:tc>
        <w:tc>
          <w:tcPr/>
          <w:p>
            <w:pPr>
              <w:pStyle w:val="TAC"/>
            </w:pPr>
          </w:p>
        </w:tc>
      </w:tr>
    </w:tbl>
    <w:p/>
    <w:p>
      <w:pPr>
        <w:pStyle w:val="TH"/>
      </w:pPr>
      <w:r>
        <w:t xml:space="preserve">Table 6.3.7-2: Mapping of Alarm function to smokeSensor moduleClass</w:t>
      </w:r>
    </w:p>
    <w:tbl>
      <w:tblPr>
        <w:tblStyle w:val="Table"/>
        <w:tblW w:type="auto" w:w="0"/>
        <w:tblLook w:firstRow="1" w:lastRow="0" w:firstColumn="0" w:lastColumn="0" w:noHBand="0" w:noVBand="0" w:val="0020"/>
        <w:tblCaption w:val="Table 6.3.7-2: Mapping of Alarm function to smokeSensor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alarm</w:t>
            </w:r>
          </w:p>
        </w:tc>
        <w:tc>
          <w:tcPr/>
          <w:p>
            <w:pPr>
              <w:pStyle w:val="TAC"/>
            </w:pPr>
            <w:r>
              <w:rPr>
                <w:i/>
                <w:iCs/>
              </w:rPr>
              <w:t xml:space="preserve">alarm</w:t>
            </w:r>
          </w:p>
        </w:tc>
        <w:tc>
          <w:tcPr/>
          <w:p>
            <w:pPr>
              <w:pStyle w:val="TAC"/>
            </w:pPr>
          </w:p>
        </w:tc>
      </w:tr>
    </w:tbl>
    <w:p/>
    <w:p>
      <w:pPr>
        <w:pStyle w:val="TH"/>
      </w:pPr>
      <w:r>
        <w:t xml:space="preserve">Table 6.3.7-3: Mapping of Alarm function to temperatureAlarm moduleClass</w:t>
      </w:r>
    </w:p>
    <w:tbl>
      <w:tblPr>
        <w:tblStyle w:val="Table"/>
        <w:tblW w:type="auto" w:w="0"/>
        <w:tblLook w:firstRow="1" w:lastRow="0" w:firstColumn="0" w:lastColumn="0" w:noHBand="0" w:noVBand="0" w:val="0020"/>
        <w:tblCaption w:val="Table 6.3.7-3: Mapping of Alarm function to temperatureAlarm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alarm</w:t>
            </w:r>
          </w:p>
        </w:tc>
        <w:tc>
          <w:tcPr/>
          <w:p>
            <w:pPr>
              <w:pStyle w:val="TAC"/>
            </w:pPr>
            <w:r>
              <w:rPr>
                <w:i/>
                <w:iCs/>
              </w:rPr>
              <w:t xml:space="preserve">alarm</w:t>
            </w:r>
          </w:p>
        </w:tc>
        <w:tc>
          <w:tcPr/>
          <w:p>
            <w:pPr>
              <w:pStyle w:val="TAC"/>
            </w:pPr>
          </w:p>
        </w:tc>
      </w:tr>
    </w:tbl>
    <w:p/>
    <w:p>
      <w:pPr>
        <w:pStyle w:val="TH"/>
      </w:pPr>
      <w:r>
        <w:t xml:space="preserve">Table 6.3.7-4: Mapping of Alarm function to waterSensor moduleClass</w:t>
      </w:r>
    </w:p>
    <w:tbl>
      <w:tblPr>
        <w:tblStyle w:val="Table"/>
        <w:tblW w:type="auto" w:w="0"/>
        <w:tblLook w:firstRow="1" w:lastRow="0" w:firstColumn="0" w:lastColumn="0" w:noHBand="0" w:noVBand="0" w:val="0020"/>
        <w:tblCaption w:val="Table 6.3.7-4: Mapping of Alarm function to waterSensor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alarm</w:t>
            </w:r>
          </w:p>
        </w:tc>
        <w:tc>
          <w:tcPr/>
          <w:p>
            <w:pPr>
              <w:pStyle w:val="TAC"/>
            </w:pPr>
            <w:r>
              <w:rPr>
                <w:i/>
                <w:iCs/>
              </w:rPr>
              <w:t xml:space="preserve">alarm</w:t>
            </w:r>
          </w:p>
        </w:tc>
        <w:tc>
          <w:tcPr/>
          <w:p>
            <w:pPr>
              <w:pStyle w:val="TAC"/>
            </w:pPr>
          </w:p>
        </w:tc>
      </w:tr>
    </w:tbl>
    <w:p>
      <w:pPr>
        <w:spacing w:before="0" w:after="180"/>
      </w:pPr>
    </w:p>
    <w:bookmarkEnd w:id="25"/>
    <w:bookmarkStart w:id="28" w:name="keypad-function"/>
    <w:p>
      <w:pPr>
        <w:pStyle w:val="Heading3"/>
      </w:pPr>
      <w:r>
        <w:t>6.3.8</w:t>
        <w:tab/>
        <w:t xml:space="preserve">Keypad Function</w:t>
      </w:r>
    </w:p>
    <w:p>
      <w:pPr>
        <w:pStyle w:val="Normal"/>
      </w:pPr>
      <w:r>
        <w:t xml:space="preserve">The Keypad Function maps to keypad moduleClass of oneM2M.</w:t>
      </w:r>
    </w:p>
    <w:p>
      <w:pPr>
        <w:pStyle w:val="TH"/>
      </w:pPr>
      <w:r>
        <w:t xml:space="preserve">Table 6.3.8-1: Mapping of Keypad function to keypad moduleClass</w:t>
      </w:r>
    </w:p>
    <w:tbl>
      <w:tblPr>
        <w:tblStyle w:val="Table"/>
        <w:tblW w:type="auto" w:w="0"/>
        <w:tblLook w:firstRow="1" w:lastRow="0" w:firstColumn="0" w:lastColumn="0" w:noHBand="0" w:noVBand="0" w:val="0020"/>
        <w:tblCaption w:val="Table 6.3.8-1: Mapping of Keypad function to keypad moduleClass"/>
      </w:tblPr>
      <w:tblGrid>
        <w:gridCol w:w="2640"/>
        <w:gridCol w:w="2640"/>
        <w:gridCol w:w="2640"/>
      </w:tblGrid>
      <w:tr>
        <w:trPr>
          <w:tblHeader w:val="on"/>
        </w:trPr>
        <w:tc>
          <w:tcPr/>
          <w:p>
            <w:pPr>
              <w:pStyle w:val="TAH"/>
            </w:pPr>
            <w:r>
              <w:rPr>
                <w:b w:val="true"/>
              </w:rPr>
              <w:t xml:space="preserve">OSGi</w:t>
            </w:r>
          </w:p>
        </w:tc>
        <w:tc>
          <w:tcPr/>
          <w:p>
            <w:pPr>
              <w:pStyle w:val="TAH"/>
            </w:pPr>
            <w:r>
              <w:rPr>
                <w:b w:val="true"/>
              </w:rPr>
              <w:t xml:space="preserve">oneM2M</w:t>
            </w:r>
          </w:p>
        </w:tc>
        <w:tc>
          <w:tcPr/>
          <w:p>
            <w:pPr>
              <w:pStyle w:val="TAH"/>
            </w:pPr>
            <w:r>
              <w:rPr>
                <w:b w:val="true"/>
              </w:rPr>
              <w:t xml:space="preserve">Description</w:t>
            </w:r>
          </w:p>
        </w:tc>
      </w:tr>
      <w:tr>
        <w:tc>
          <w:tcPr/>
          <w:p>
            <w:pPr>
              <w:pStyle w:val="TAC"/>
            </w:pPr>
            <w:r>
              <w:t xml:space="preserve">key</w:t>
            </w:r>
          </w:p>
        </w:tc>
        <w:tc>
          <w:tcPr/>
          <w:p>
            <w:pPr>
              <w:pStyle w:val="TAC"/>
            </w:pPr>
            <w:r>
              <w:rPr>
                <w:i/>
                <w:iCs/>
              </w:rPr>
              <w:t xml:space="preserve">keyNumber</w:t>
            </w:r>
          </w:p>
        </w:tc>
        <w:tc>
          <w:tcPr/>
          <w:p>
            <w:pPr>
              <w:pStyle w:val="TAC"/>
            </w:pPr>
          </w:p>
        </w:tc>
      </w:tr>
    </w:tbl>
    <w:p>
      <w:pPr>
        <w:spacing w:before="0" w:after="180"/>
      </w:pPr>
    </w:p>
    <w:bookmarkEnd w:id="26"/>
    <w:bookmarkStart w:id="29" w:name="wakeup-function"/>
    <w:p>
      <w:pPr>
        <w:pStyle w:val="Heading3"/>
      </w:pPr>
      <w:r>
        <w:t>6.3.9</w:t>
        <w:tab/>
        <w:t xml:space="preserve">WakeUp Function</w:t>
      </w:r>
    </w:p>
    <w:p>
      <w:pPr>
        <w:pStyle w:val="Normal"/>
      </w:pPr>
      <w:r>
        <w:t xml:space="preserve">This Function currently has no corresponding moduleClass in oneM2M.</w:t>
      </w:r>
    </w:p>
    <w:bookmarkEnd w:id="27"/>
    <w:bookmarkEnd w:id="28"/>
    <w:bookmarkStart w:id="30" w:name="device-service-procedure"/>
    <w:p>
      <w:pPr>
        <w:pStyle w:val="Heading2"/>
      </w:pPr>
      <w:r>
        <w:t>6.4</w:t>
        <w:tab/>
        <w:t xml:space="preserve">Device service procedure</w:t>
      </w:r>
    </w:p>
    <w:p>
      <w:pPr>
        <w:pStyle w:val="Normal"/>
      </w:pPr>
      <w:r>
        <w:t xml:space="preserve">The IPE is responsible for monitoring the OSGi Device service and synchronizing the properties of the Device service to attributes of the oneM2M resources.</w:t>
      </w:r>
    </w:p>
    <w:p xmlns:a="http://schemas.openxmlformats.org/drawingml/2006/main" xmlns:pic="http://schemas.openxmlformats.org/drawingml/2006/picture">
      <w:pPr>
        <w:pStyle w:val="FL"/>
      </w:pPr>
      <w:r>
        <w:drawing>
          <wp:inline>
            <wp:extent cx="6108700" cy="1518203"/>
            <wp:effectExtent b="0" l="0" r="0" t="0"/>
            <wp:docPr descr="Figure 6.4-1: Procedure of registering Device service" title="" id="4" name="Picture"/>
            <a:graphic>
              <a:graphicData uri="http://schemas.openxmlformats.org/drawingml/2006/picture">
                <pic:pic>
                  <pic:nvPicPr>
                    <pic:cNvPr descr="./media/6.4-1.png" id="4" name="Picture"/>
                    <pic:cNvPicPr>
                      <a:picLocks noChangeArrowheads="1" noChangeAspect="1"/>
                    </pic:cNvPicPr>
                  </pic:nvPicPr>
                  <pic:blipFill>
                    <a:blip r:embed="rId17"/>
                    <a:stretch>
                      <a:fillRect/>
                    </a:stretch>
                  </pic:blipFill>
                  <pic:spPr bwMode="auto">
                    <a:xfrm>
                      <a:off x="0" y="0"/>
                      <a:ext cx="6108700" cy="1518203"/>
                    </a:xfrm>
                    <a:prstGeom prst="rect">
                      <a:avLst/>
                    </a:prstGeom>
                    <a:noFill/>
                    <a:ln w="9525">
                      <a:noFill/>
                      <a:headEnd/>
                      <a:tailEnd/>
                    </a:ln>
                  </pic:spPr>
                </pic:pic>
              </a:graphicData>
            </a:graphic>
          </wp:inline>
        </w:drawing>
      </w:r>
    </w:p>
    <w:p>
      <w:pPr>
        <w:pStyle w:val="TF"/>
      </w:pPr>
      <w:r>
        <w:t xml:space="preserve">Figure 6.4-1: Procedure of registering Device service</w:t>
      </w:r>
    </w:p>
    <w:p>
      <w:pPr>
        <w:pStyle w:val="Normal"/>
      </w:pPr>
      <w:r>
        <w:t>The mapping of resources shall follow the definition in oneM2M TS</w:t>
      </w:r>
      <w:r>
        <w:noBreakHyphen/>
      </w:r>
      <w:r>
        <w:t>0033</w:t>
      </w:r>
      <w:r>
        <w:t xml:space="preserve"> </w:t>
      </w:r>
      <w:hyperlink w:anchor="X43b58990f2b8fb6933d1a1555450410c613db3d">
        <w:r>
          <w:rPr>
            <w:rStyle w:val="Normal"/>
          </w:rPr>
          <w:t xml:space="preserve">[2]</w:t>
        </w:r>
      </w:hyperlink>
      <w:r>
        <w:t xml:space="preserve"> </w:t>
      </w:r>
      <w:r>
        <w:t xml:space="preserve">proximal IoT interworking. Depending on the available properties of the Device service,</w:t>
      </w:r>
      <w:r>
        <w:t xml:space="preserve"> </w:t>
      </w:r>
      <w:r>
        <w:rPr>
          <w:i/>
          <w:iCs/>
        </w:rPr>
        <w:t xml:space="preserve">&lt;node&gt;</w:t>
      </w:r>
      <w:r>
        <w:t xml:space="preserve"> </w:t>
      </w:r>
      <w:r>
        <w:t xml:space="preserve">resource,</w:t>
      </w:r>
      <w:r>
        <w:t xml:space="preserve"> </w:t>
      </w:r>
      <w:r>
        <w:rPr>
          <w:i/>
          <w:iCs/>
        </w:rPr>
        <w:t xml:space="preserve">&lt;AE&gt;</w:t>
      </w:r>
      <w:r>
        <w:t xml:space="preserve"> </w:t>
      </w:r>
      <w:r>
        <w:t xml:space="preserve">resource,</w:t>
      </w:r>
      <w:r>
        <w:t xml:space="preserve"> </w:t>
      </w:r>
      <w:r>
        <w:rPr>
          <w:i/>
          <w:iCs/>
        </w:rPr>
        <w:t xml:space="preserve">&lt;container&gt;</w:t>
      </w:r>
      <w:r>
        <w:t xml:space="preserve"> </w:t>
      </w:r>
      <w:r>
        <w:t xml:space="preserve">resource or</w:t>
      </w:r>
      <w:r>
        <w:t xml:space="preserve"> </w:t>
      </w:r>
      <w:r>
        <w:rPr>
          <w:i/>
          <w:iCs/>
        </w:rPr>
        <w:t xml:space="preserve">&lt;flexContainer&gt;</w:t>
      </w:r>
      <w:r>
        <w:t xml:space="preserve"> </w:t>
      </w:r>
      <w:r>
        <w:t xml:space="preserve">resource may be used to represent the Device service.</w:t>
      </w:r>
    </w:p>
    <w:bookmarkEnd w:id="29"/>
    <w:bookmarkStart w:id="31" w:name="function-service-procedure"/>
    <w:p>
      <w:pPr>
        <w:pStyle w:val="Heading2"/>
      </w:pPr>
      <w:r>
        <w:t>6.5</w:t>
        <w:tab/>
        <w:t xml:space="preserve">Function service procedure</w:t>
      </w:r>
    </w:p>
    <w:p>
      <w:pPr>
        <w:pStyle w:val="Normal"/>
      </w:pPr>
      <w:r>
        <w:t xml:space="preserve">The IPE is responsible for monitoring the Function property and synchronizing the change of the property to oneM2M resources. The IPE is also responsible for monitoring the update of the oneM2M resource that corresponds to the Function operation. Upon receiving the request targeting the resource, the IPE shall invoke the corresponding Function operation.</w:t>
      </w:r>
    </w:p>
    <w:p xmlns:a="http://schemas.openxmlformats.org/drawingml/2006/main" xmlns:pic="http://schemas.openxmlformats.org/drawingml/2006/picture">
      <w:pPr>
        <w:pStyle w:val="FL"/>
      </w:pPr>
      <w:r>
        <w:drawing>
          <wp:inline>
            <wp:extent cx="6108700" cy="1656222"/>
            <wp:effectExtent b="0" l="0" r="0" t="0"/>
            <wp:docPr descr="Figure 6.5-1: Procedure of registering function service" title="" id="5" name="Picture"/>
            <a:graphic>
              <a:graphicData uri="http://schemas.openxmlformats.org/drawingml/2006/picture">
                <pic:pic>
                  <pic:nvPicPr>
                    <pic:cNvPr descr="./media/6.5-1.png" id="5" name="Picture"/>
                    <pic:cNvPicPr>
                      <a:picLocks noChangeArrowheads="1" noChangeAspect="1"/>
                    </pic:cNvPicPr>
                  </pic:nvPicPr>
                  <pic:blipFill>
                    <a:blip r:embed="rId18"/>
                    <a:stretch>
                      <a:fillRect/>
                    </a:stretch>
                  </pic:blipFill>
                  <pic:spPr bwMode="auto">
                    <a:xfrm>
                      <a:off x="0" y="0"/>
                      <a:ext cx="6108700" cy="1656222"/>
                    </a:xfrm>
                    <a:prstGeom prst="rect">
                      <a:avLst/>
                    </a:prstGeom>
                    <a:noFill/>
                    <a:ln w="9525">
                      <a:noFill/>
                      <a:headEnd/>
                      <a:tailEnd/>
                    </a:ln>
                  </pic:spPr>
                </pic:pic>
              </a:graphicData>
            </a:graphic>
          </wp:inline>
        </w:drawing>
      </w:r>
    </w:p>
    <w:p>
      <w:pPr>
        <w:pStyle w:val="TF"/>
      </w:pPr>
      <w:r>
        <w:t xml:space="preserve">Figure 6.5-1: Procedure of registering function service</w:t>
      </w:r>
    </w:p>
    <w:p>
      <w:pPr>
        <w:pStyle w:val="Normal"/>
      </w:pPr>
      <w:r>
        <w:t xml:space="preserve">Monitors the registration: The IPE monitors the registration of the Function service to the OSGi framework.</w:t>
      </w:r>
    </w:p>
    <w:p>
      <w:pPr>
        <w:pStyle w:val="Normal"/>
      </w:pPr>
      <w:r>
        <w:t xml:space="preserve">Create resource: The IPE creates the corresponding resource to the oneM2M CSE.</w:t>
      </w:r>
    </w:p>
    <w:p xmlns:a="http://schemas.openxmlformats.org/drawingml/2006/main" xmlns:pic="http://schemas.openxmlformats.org/drawingml/2006/picture">
      <w:pPr>
        <w:pStyle w:val="FL"/>
      </w:pPr>
      <w:r>
        <w:drawing>
          <wp:inline>
            <wp:extent cx="6108700" cy="1606535"/>
            <wp:effectExtent b="0" l="0" r="0" t="0"/>
            <wp:docPr descr="Figure 6.5-2: Procedure of changing function property" title="" id="6" name="Picture"/>
            <a:graphic>
              <a:graphicData uri="http://schemas.openxmlformats.org/drawingml/2006/picture">
                <pic:pic>
                  <pic:nvPicPr>
                    <pic:cNvPr descr="./media/6.5-2.png" id="6" name="Picture"/>
                    <pic:cNvPicPr>
                      <a:picLocks noChangeArrowheads="1" noChangeAspect="1"/>
                    </pic:cNvPicPr>
                  </pic:nvPicPr>
                  <pic:blipFill>
                    <a:blip r:embed="rId19"/>
                    <a:stretch>
                      <a:fillRect/>
                    </a:stretch>
                  </pic:blipFill>
                  <pic:spPr bwMode="auto">
                    <a:xfrm>
                      <a:off x="0" y="0"/>
                      <a:ext cx="6108700" cy="1606535"/>
                    </a:xfrm>
                    <a:prstGeom prst="rect">
                      <a:avLst/>
                    </a:prstGeom>
                    <a:noFill/>
                    <a:ln w="9525">
                      <a:noFill/>
                      <a:headEnd/>
                      <a:tailEnd/>
                    </a:ln>
                  </pic:spPr>
                </pic:pic>
              </a:graphicData>
            </a:graphic>
          </wp:inline>
        </w:drawing>
      </w:r>
    </w:p>
    <w:p>
      <w:pPr>
        <w:pStyle w:val="TF"/>
      </w:pPr>
      <w:r>
        <w:t xml:space="preserve">Figure 6.5-2: Procedure of changing function property</w:t>
      </w:r>
    </w:p>
    <w:p>
      <w:pPr>
        <w:pStyle w:val="Normal"/>
      </w:pPr>
      <w:r>
        <w:t xml:space="preserve">Change of Function property: The Function property may be changed due to various reasons such as hardware triggered break, sensor change, local application change, etc.</w:t>
      </w:r>
    </w:p>
    <w:p>
      <w:pPr>
        <w:pStyle w:val="Normal"/>
      </w:pPr>
      <w:r>
        <w:t xml:space="preserve">Monitors the change: The IPE monitors the change by subscribing to the eventable properties, acquiring the property periodically or by some other internal call back functions.</w:t>
      </w:r>
    </w:p>
    <w:p>
      <w:pPr>
        <w:pStyle w:val="Normal"/>
      </w:pPr>
      <w:r>
        <w:t xml:space="preserve">Update the resource: The IPE updates the corresponding resource of the Function.</w:t>
      </w:r>
    </w:p>
    <w:p xmlns:a="http://schemas.openxmlformats.org/drawingml/2006/main" xmlns:pic="http://schemas.openxmlformats.org/drawingml/2006/picture">
      <w:pPr>
        <w:pStyle w:val="FL"/>
      </w:pPr>
      <w:r>
        <w:drawing>
          <wp:inline>
            <wp:extent cx="6108700" cy="1631378"/>
            <wp:effectExtent b="0" l="0" r="0" t="0"/>
            <wp:docPr descr="Figure 6.5-3: Procedure of invoking function operation" title="" id="7" name="Picture"/>
            <a:graphic>
              <a:graphicData uri="http://schemas.openxmlformats.org/drawingml/2006/picture">
                <pic:pic>
                  <pic:nvPicPr>
                    <pic:cNvPr descr="./media/6.5-3.png" id="7" name="Picture"/>
                    <pic:cNvPicPr>
                      <a:picLocks noChangeArrowheads="1" noChangeAspect="1"/>
                    </pic:cNvPicPr>
                  </pic:nvPicPr>
                  <pic:blipFill>
                    <a:blip r:embed="rId20"/>
                    <a:stretch>
                      <a:fillRect/>
                    </a:stretch>
                  </pic:blipFill>
                  <pic:spPr bwMode="auto">
                    <a:xfrm>
                      <a:off x="0" y="0"/>
                      <a:ext cx="6108700" cy="1631378"/>
                    </a:xfrm>
                    <a:prstGeom prst="rect">
                      <a:avLst/>
                    </a:prstGeom>
                    <a:noFill/>
                    <a:ln w="9525">
                      <a:noFill/>
                      <a:headEnd/>
                      <a:tailEnd/>
                    </a:ln>
                  </pic:spPr>
                </pic:pic>
              </a:graphicData>
            </a:graphic>
          </wp:inline>
        </w:drawing>
      </w:r>
    </w:p>
    <w:p>
      <w:pPr>
        <w:pStyle w:val="TF"/>
      </w:pPr>
      <w:r>
        <w:t xml:space="preserve">Figure 6.5-3: Procedure of invoking function operation</w:t>
      </w:r>
    </w:p>
    <w:p>
      <w:pPr>
        <w:pStyle w:val="Normal"/>
      </w:pPr>
      <w:r>
        <w:t xml:space="preserve">Update resource: The oneM2M CSE receives update requests from applications to update the resource that corresponds with the Function service.</w:t>
      </w:r>
    </w:p>
    <w:p>
      <w:pPr>
        <w:pStyle w:val="Normal"/>
      </w:pPr>
      <w:r>
        <w:t xml:space="preserve">Monitors the change: The IPE monitors the change by subscribing to the resource and receiving notifications or polling, etc.</w:t>
      </w:r>
    </w:p>
    <w:p>
      <w:pPr>
        <w:pStyle w:val="Normal"/>
      </w:pPr>
      <w:r>
        <w:t xml:space="preserve">Invoke the function operation: The IPE invokes the function operation provided by the Function service.</w:t>
      </w:r>
    </w:p>
    <w:bookmarkEnd w:id="30"/>
    <w:bookmarkEnd w:id="31"/>
    <w:p>
      <w:r>
        <w:br w:type="page"/>
      </w:r>
    </w:p>
    <w:bookmarkStart w:id="32" w:name="history"/>
    <w:p>
      <w:pPr>
        <w:pStyle w:val="Heading1"/>
      </w:pPr>
      <w:r>
        <w:t xml:space="preserve">History</w:t>
      </w:r>
    </w:p>
    <w:tbl>
      <w:tblPr>
        <w:tblStyle w:val="Table"/>
        <w:tblW w:type="pct" w:w="3125"/>
        <w:tblLayout w:type="fixed"/>
        <w:tblLook w:firstRow="1" w:lastRow="0" w:firstColumn="0" w:lastColumn="0" w:noHBand="0" w:noVBand="0" w:val="0020"/>
      </w:tblPr>
      <w:tblGrid>
        <w:gridCol w:w="770"/>
        <w:gridCol w:w="1540"/>
        <w:gridCol w:w="2640"/>
      </w:tblGrid>
      <w:tr>
        <w:trPr>
          <w:tblHeader w:val="on"/>
        </w:trPr>
        <w:tc>
          <w:tcPr>
            <w:gridSpan w:val="3"/>
          </w:tcPr>
          <w:p>
            <w:pPr>
              <w:pStyle w:val="TAH"/>
            </w:pPr>
            <w:r>
              <w:rPr>
                <w:b w:val="true"/>
              </w:rPr>
              <w:t xml:space="preserve">Publication history</w:t>
            </w:r>
          </w:p>
        </w:tc>
      </w:tr>
      <w:tr>
        <w:tc>
          <w:tcPr/>
          <w:p>
            <w:pPr>
              <w:pStyle w:val="TAL"/>
              <w:jc w:val="left"/>
            </w:pPr>
            <w:r>
              <w:t xml:space="preserve">V3.0.0</w:t>
            </w:r>
          </w:p>
        </w:tc>
        <w:tc>
          <w:tcPr/>
          <w:p>
            <w:pPr>
              <w:pStyle w:val="TAL"/>
              <w:jc w:val="left"/>
            </w:pPr>
            <w:r>
              <w:t xml:space="preserve">April 2019</w:t>
            </w:r>
          </w:p>
        </w:tc>
        <w:tc>
          <w:tcPr/>
          <w:p>
            <w:pPr>
              <w:pStyle w:val="TAL"/>
              <w:jc w:val="left"/>
            </w:pPr>
            <w:r>
              <w:t xml:space="preserve">Release 3 - Publication</w:t>
            </w:r>
          </w:p>
        </w:tc>
      </w:tr>
      <w:tr>
        <w:tc>
          <w:tcPr/>
          <w:p>
            <w:pPr>
              <w:pStyle w:val="TAL"/>
              <w:jc w:val="left"/>
            </w:pPr>
            <w:r>
              <w:t xml:space="preserve">V4.0.0</w:t>
            </w:r>
          </w:p>
        </w:tc>
        <w:tc>
          <w:tcPr/>
          <w:p>
            <w:pPr>
              <w:pStyle w:val="TAL"/>
              <w:jc w:val="left"/>
            </w:pPr>
            <w:r>
              <w:t xml:space="preserve">February 2023</w:t>
            </w:r>
          </w:p>
        </w:tc>
        <w:tc>
          <w:tcPr/>
          <w:p>
            <w:pPr>
              <w:pStyle w:val="TAL"/>
              <w:jc w:val="left"/>
            </w:pPr>
            <w:r>
              <w:t xml:space="preserve">Release 4 - Publication</w:t>
            </w: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bl>
    <w:p/>
    <w:tbl>
      <w:tblPr>
        <w:tblStyle w:val="Table"/>
        <w:tblW w:type="pct" w:w="4943"/>
        <w:tblLayout w:type="fixed"/>
        <w:tblLook w:firstRow="1" w:lastRow="0" w:firstColumn="0" w:lastColumn="0" w:noHBand="0" w:noVBand="0" w:val="0020"/>
      </w:tblPr>
      <w:tblGrid>
        <w:gridCol w:w="728"/>
        <w:gridCol w:w="1547"/>
        <w:gridCol w:w="5553"/>
      </w:tblGrid>
      <w:tr>
        <w:trPr>
          <w:tblHeader w:val="on"/>
        </w:trPr>
        <w:tc>
          <w:tcPr>
            <w:gridSpan w:val="3"/>
          </w:tcPr>
          <w:p>
            <w:pPr>
              <w:pStyle w:val="TAH"/>
            </w:pPr>
            <w:r>
              <w:rPr>
                <w:b w:val="true"/>
              </w:rPr>
              <w:t xml:space="preserve">Draft history (to be removed on publication)</w:t>
            </w:r>
          </w:p>
        </w:tc>
      </w:tr>
      <w:tr>
        <w:tc>
          <w:tcPr/>
          <w:p>
            <w:pPr>
              <w:pStyle w:val="TAL"/>
              <w:jc w:val="left"/>
            </w:pPr>
            <w:r>
              <w:t xml:space="preserve">V5.0.0</w:t>
            </w:r>
          </w:p>
        </w:tc>
        <w:tc>
          <w:tcPr/>
          <w:p>
            <w:pPr>
              <w:pStyle w:val="TAL"/>
              <w:jc w:val="left"/>
            </w:pPr>
            <w:r>
              <w:t xml:space="preserve">2025-04-01</w:t>
            </w:r>
          </w:p>
        </w:tc>
        <w:tc>
          <w:tcPr/>
          <w:p>
            <w:pPr>
              <w:pStyle w:val="TAL"/>
              <w:jc w:val="left"/>
            </w:pPr>
            <w:r>
              <w:t xml:space="preserve">First draft for Rel-5 based on V4.0.0</w:t>
            </w:r>
          </w:p>
        </w:tc>
      </w:tr>
      <w:tr>
        <w:tc>
          <w:tcPr/>
          <w:p>
            <w:pPr>
              <w:pStyle w:val="TAL"/>
              <w:jc w:val="left"/>
            </w:pPr>
            <w:r>
              <w:t xml:space="preserve">V5.0.1</w:t>
            </w:r>
          </w:p>
        </w:tc>
        <w:tc>
          <w:tcPr/>
          <w:p>
            <w:pPr>
              <w:pStyle w:val="TAL"/>
              <w:jc w:val="left"/>
            </w:pPr>
            <w:r>
              <w:t xml:space="preserve">2026-03-19</w:t>
            </w:r>
          </w:p>
        </w:tc>
        <w:tc>
          <w:tcPr/>
          <w:p>
            <w:pPr>
              <w:pStyle w:val="TAL"/>
              <w:jc w:val="left"/>
            </w:pPr>
            <w:r>
              <w:t xml:space="preserve">Conversion to markdown format</w:t>
            </w:r>
          </w:p>
        </w:tc>
      </w:tr>
      <w:tr>
        <w:tc>
          <w:tcPr/>
          <w:p>
            <w:pPr>
              <w:pStyle w:val="TAL"/>
              <w:jc w:val="left"/>
            </w:pPr>
            <w:r>
              <w:t xml:space="preserve">V5.0.2</w:t>
            </w:r>
          </w:p>
        </w:tc>
        <w:tc>
          <w:tcPr/>
          <w:p>
            <w:pPr>
              <w:pStyle w:val="TAL"/>
              <w:jc w:val="left"/>
            </w:pPr>
            <w:r>
              <w:t xml:space="preserve">2026-07-10</w:t>
            </w:r>
          </w:p>
        </w:tc>
        <w:tc>
          <w:tcPr/>
          <w:p>
            <w:pPr>
              <w:pStyle w:val="TAL"/>
              <w:jc w:val="left"/>
            </w:pPr>
            <w:r>
              <w:t xml:space="preserve">Incorporate pre-processing changes from editHelp!</w:t>
            </w:r>
            <w:r>
              <w:br/>
            </w:r>
            <w:r>
              <w:t xml:space="preserve">Include fix to issue #272 (make OSGi reference normative).</w:t>
            </w:r>
          </w:p>
        </w:tc>
      </w:tr>
    </w:tbl>
    <w:p>
      <w:pPr>
        <w:spacing w:before="0" w:after="180"/>
      </w:pPr>
    </w:p>
    <w:bookmarkEnd w:id="32"/>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F3EC" w14:textId="77777777" w:rsidR="00223F43" w:rsidRDefault="00223F43">
      <w:r>
        <w:separator/>
      </w:r>
    </w:p>
  </w:endnote>
  <w:endnote w:type="continuationSeparator" w:id="0">
    <w:p w14:paraId="75125995" w14:textId="77777777" w:rsidR="00223F43" w:rsidRDefault="0022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87BD" w14:textId="77777777" w:rsidR="00223F43" w:rsidRDefault="00223F43">
      <w:r>
        <w:separator/>
      </w:r>
    </w:p>
  </w:footnote>
  <w:footnote w:type="continuationSeparator" w:id="0">
    <w:p w14:paraId="64DB2393" w14:textId="77777777" w:rsidR="00223F43" w:rsidRDefault="00223F43">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080"/>
        </w:tabs>
        <w:ind w:left="720"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080"/>
        </w:tabs>
        <w:ind w:left="720"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1080"/>
        </w:tabs>
        <w:ind w:left="720" w:hanging="360"/>
      </w:pPr>
    </w:lvl>
  </w:abstractNum>
  <w:abstractNum w:abstractNumId="3" w15:restartNumberingAfterBreak="0">
    <w:nsid w:val="FFFFFF7F"/>
    <w:multiLevelType w:val="singleLevel"/>
    <w:tmpl w:val="D99E36B8"/>
    <w:lvl w:ilvl="0">
      <w:start w:val="1"/>
      <w:numFmt w:val="decimal"/>
      <w:lvlText w:val="%1."/>
      <w:lvlJc w:val="left"/>
      <w:pPr>
        <w:tabs>
          <w:tab w:val="num" w:pos="1080"/>
        </w:tabs>
        <w:ind w:left="720" w:hanging="360"/>
      </w:pPr>
    </w:lvl>
  </w:abstractNum>
  <w:abstractNum w:abstractNumId="4" w15:restartNumberingAfterBreak="0">
    <w:nsid w:val="FFFFFF80"/>
    <w:multiLevelType w:val="singleLevel"/>
    <w:tmpl w:val="7A162058"/>
    <w:lvl w:ilvl="0">
      <w:start w:val="1"/>
      <w:numFmt w:val="bullet"/>
      <w:lvlText w:val=""/>
      <w:lvlJc w:val="left"/>
      <w:pPr>
        <w:tabs>
          <w:tab w:val="num" w:pos="1080"/>
        </w:tabs>
        <w:ind w:left="720" w:hanging="360"/>
      </w:pPr>
      <w:rPr>
        <w:rFonts w:ascii="Symbol" w:hAnsi="Symbol" w:hint="default" w:eastAsia="Symbol" w:cs="Symbol"/>
      </w:rPr>
    </w:lvl>
  </w:abstractNum>
  <w:abstractNum w:abstractNumId="5" w15:restartNumberingAfterBreak="0">
    <w:nsid w:val="FFFFFF81"/>
    <w:multiLevelType w:val="singleLevel"/>
    <w:tmpl w:val="958456B6"/>
    <w:lvl w:ilvl="0">
      <w:start w:val="1"/>
      <w:numFmt w:val="bullet"/>
      <w:lvlText w:val=""/>
      <w:lvlJc w:val="left"/>
      <w:pPr>
        <w:tabs>
          <w:tab w:val="num" w:pos="1080"/>
        </w:tabs>
        <w:ind w:left="720" w:hanging="360"/>
      </w:pPr>
      <w:rPr>
        <w:rFonts w:ascii="Symbol" w:hAnsi="Symbol" w:hint="default" w:eastAsia="Symbol" w:cs="Symbol"/>
      </w:rPr>
    </w:lvl>
  </w:abstractNum>
  <w:abstractNum w:abstractNumId="6" w15:restartNumberingAfterBreak="0">
    <w:nsid w:val="FFFFFF82"/>
    <w:multiLevelType w:val="singleLevel"/>
    <w:tmpl w:val="F91C347E"/>
    <w:lvl w:ilvl="0">
      <w:start w:val="1"/>
      <w:numFmt w:val="bullet"/>
      <w:lvlText w:val=""/>
      <w:lvlJc w:val="left"/>
      <w:pPr>
        <w:tabs>
          <w:tab w:val="num" w:pos="1080"/>
        </w:tabs>
        <w:ind w:left="720" w:hanging="360"/>
      </w:pPr>
      <w:rPr>
        <w:rFonts w:ascii="Symbol" w:hAnsi="Symbol" w:hint="default" w:eastAsia="Symbol" w:cs="Symbol"/>
      </w:rPr>
    </w:lvl>
  </w:abstractNum>
  <w:abstractNum w:abstractNumId="7" w15:restartNumberingAfterBreak="0">
    <w:nsid w:val="FFFFFF83"/>
    <w:multiLevelType w:val="singleLevel"/>
    <w:tmpl w:val="170C7C70"/>
    <w:lvl w:ilvl="0">
      <w:start w:val="1"/>
      <w:numFmt w:val="bullet"/>
      <w:lvlText w:val=""/>
      <w:lvlJc w:val="left"/>
      <w:pPr>
        <w:tabs>
          <w:tab w:val="num" w:pos="1080"/>
        </w:tabs>
        <w:ind w:left="720" w:hanging="360"/>
      </w:pPr>
      <w:rPr>
        <w:rFonts w:ascii="Symbol" w:hAnsi="Symbol" w:hint="default" w:eastAsia="Symbol" w:cs="Symbol"/>
      </w:rPr>
    </w:lvl>
  </w:abstractNum>
  <w:abstractNum w:abstractNumId="8" w15:restartNumberingAfterBreak="0">
    <w:nsid w:val="FFFFFF88"/>
    <w:multiLevelType w:val="singleLevel"/>
    <w:tmpl w:val="D6147F26"/>
    <w:lvl w:ilvl="0">
      <w:start w:val="1"/>
      <w:numFmt w:val="decimal"/>
      <w:lvlText w:val="%1."/>
      <w:lvlJc w:val="left"/>
      <w:pPr>
        <w:tabs>
          <w:tab w:val="num" w:pos="1080"/>
        </w:tabs>
        <w:ind w:left="720" w:hanging="360"/>
      </w:pPr>
    </w:lvl>
  </w:abstractNum>
  <w:abstractNum w:abstractNumId="9" w15:restartNumberingAfterBreak="0">
    <w:nsid w:val="FFFFFF89"/>
    <w:multiLevelType w:val="singleLevel"/>
    <w:tmpl w:val="7A5ECFBA"/>
    <w:lvl w:ilvl="0">
      <w:start w:val="1"/>
      <w:numFmt w:val="bullet"/>
      <w:lvlText w:val=""/>
      <w:lvlJc w:val="left"/>
      <w:pPr>
        <w:tabs>
          <w:tab w:val="num" w:pos="1080"/>
        </w:tabs>
        <w:ind w:left="720" w:hanging="360"/>
      </w:pPr>
      <w:rPr>
        <w:rFonts w:ascii="Symbol" w:hAnsi="Symbol" w:hint="default" w:eastAsia="Symbol" w:cs="Symbol"/>
      </w:rPr>
    </w:lvl>
  </w:abstractNum>
  <w:abstractNum w:abstractNumId="10" w15:restartNumberingAfterBreak="0">
    <w:nsid w:val="FFFFFFFE"/>
    <w:multiLevelType w:val="singleLevel"/>
    <w:tmpl w:val="FFFFFFFF"/>
    <w:lvl w:ilvl="0">
      <w:numFmt w:val="decimal"/>
      <w:lvlText w:val="*"/>
      <w:lvlJc w:val="left"/>
      <w:pPr>
        <w:ind w:left="720" w:hanging="360"/>
        <w:tabs>
          <w:tab w:val="num" w:pos="1080"/>
        </w:tabs>
      </w:pPr>
    </w:lvl>
  </w:abstractNum>
  <w:abstractNum w:abstractNumId="11" w15:restartNumberingAfterBreak="0">
    <w:nsid w:val="01AE174B"/>
    <w:multiLevelType w:val="hybridMultilevel"/>
    <w:tmpl w:val="9214749C"/>
    <w:lvl w:ilvl="0" w:tplc="08090001">
      <w:start w:val="1"/>
      <w:numFmt w:val="bullet"/>
      <w:lvlText w:val=""/>
      <w:lvlJc w:val="left"/>
      <w:pPr>
        <w:ind w:left="720" w:hanging="360"/>
        <w:tabs>
          <w:tab w:val="num" w:pos="1080"/>
        </w:tabs>
      </w:pPr>
      <w:rPr>
        <w:rFonts w:ascii="Symbol" w:hAnsi="Symbol" w:hint="default" w:eastAsia="Symbol" w:cs="Symbol"/>
      </w:rPr>
    </w:lvl>
    <w:lvl w:ilvl="1" w:tplc="08090003" w:tentative="1">
      <w:start w:val="1"/>
      <w:numFmt w:val="bullet"/>
      <w:lvlText w:val="-"/>
      <w:lvlJc w:val="left"/>
      <w:pPr>
        <w:ind w:left="1080" w:hanging="360"/>
        <w:tabs>
          <w:tab w:val="num" w:pos="1440"/>
        </w:tabs>
      </w:pPr>
      <w:rPr>
        <w:rFonts w:ascii="Aptos" w:hAnsi="Aptos" w:cs="Aptos" w:hint="default" w:eastAsia="Aptos"/>
      </w:rPr>
    </w:lvl>
    <w:lvl w:ilvl="2" w:tplc="08090005" w:tentative="1">
      <w:start w:val="1"/>
      <w:numFmt w:val="bullet"/>
      <w:lvlText w:val=""/>
      <w:lvlJc w:val="left"/>
      <w:pPr>
        <w:ind w:left="1440" w:hanging="360"/>
        <w:tabs>
          <w:tab w:val="num" w:pos="1800"/>
        </w:tabs>
      </w:pPr>
      <w:rPr>
        <w:rFonts w:ascii="Wingdings" w:hAnsi="Wingdings" w:hint="default" w:eastAsia="Wingdings" w:cs="Wingdings"/>
      </w:rPr>
    </w:lvl>
    <w:lvl w:ilvl="3" w:tplc="08090001" w:tentative="1">
      <w:start w:val="1"/>
      <w:numFmt w:val="bullet"/>
      <w:lvlText w:val="-"/>
      <w:lvlJc w:val="left"/>
      <w:pPr>
        <w:ind w:left="1800" w:hanging="360"/>
        <w:tabs>
          <w:tab w:val="num" w:pos="2160"/>
        </w:tabs>
      </w:pPr>
      <w:rPr>
        <w:rFonts w:ascii="Aptos" w:hAnsi="Aptos" w:hint="default" w:eastAsia="Aptos" w:cs="Aptos"/>
      </w:rPr>
    </w:lvl>
    <w:lvl w:ilvl="4" w:tplc="08090003" w:tentative="1">
      <w:start w:val="1"/>
      <w:numFmt w:val="bullet"/>
      <w:lvlText w:val=""/>
      <w:lvlJc w:val="left"/>
      <w:pPr>
        <w:ind w:left="2160" w:hanging="360"/>
        <w:tabs>
          <w:tab w:val="num" w:pos="2520"/>
        </w:tabs>
      </w:pPr>
      <w:rPr>
        <w:rFonts w:ascii="Symbol" w:hAnsi="Symbol" w:cs="Symbol" w:hint="default" w:eastAsia="Symbol"/>
      </w:rPr>
    </w:lvl>
    <w:lvl w:ilvl="5" w:tplc="08090005" w:tentative="1">
      <w:start w:val="1"/>
      <w:numFmt w:val="bullet"/>
      <w:lvlText w:val="-"/>
      <w:lvlJc w:val="left"/>
      <w:pPr>
        <w:ind w:left="2520" w:hanging="360"/>
        <w:tabs>
          <w:tab w:val="num" w:pos="2880"/>
        </w:tabs>
      </w:pPr>
      <w:rPr>
        <w:rFonts w:ascii="Aptos" w:hAnsi="Aptos" w:hint="default" w:eastAsia="Aptos" w:cs="Aptos"/>
      </w:rPr>
    </w:lvl>
    <w:lvl w:ilvl="6" w:tplc="08090001" w:tentative="1">
      <w:start w:val="1"/>
      <w:numFmt w:val="bullet"/>
      <w:lvlText w:val=""/>
      <w:lvlJc w:val="left"/>
      <w:pPr>
        <w:ind w:left="2880" w:hanging="360"/>
        <w:tabs>
          <w:tab w:val="num" w:pos="3240"/>
        </w:tabs>
      </w:pPr>
      <w:rPr>
        <w:rFonts w:ascii="Wingdings" w:hAnsi="Wingdings" w:hint="default" w:eastAsia="Wingdings" w:cs="Wingdings"/>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080"/>
        </w:tabs>
        <w:ind w:left="720" w:hanging="360"/>
      </w:pPr>
      <w:rPr>
        <w:rFonts w:ascii="Symbol" w:hAnsi="Symbol" w:hint="default"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1080"/>
        </w:tabs>
        <w:ind w:left="720" w:hanging="360"/>
      </w:pPr>
      <w:rPr>
        <w:rFonts w:ascii="Symbol" w:hAnsi="Symbol" w:hint="default" w:eastAsia="Symbol" w:cs="Symbol"/>
        <w:color w:val="auto"/>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1080"/>
        </w:tabs>
        <w:ind w:left="720" w:hanging="360"/>
      </w:pPr>
      <w:rPr>
        <w:rFonts w:ascii="Symbol" w:hAnsi="Symbol" w:hint="default" w:eastAsia="Symbol" w:cs="Symbol"/>
        <w:sz w:val="20"/>
      </w:rPr>
    </w:lvl>
    <w:lvl w:ilvl="1" w:tplc="4DC4D2E8" w:tentative="1">
      <w:start w:val="1"/>
      <w:numFmt w:val="bullet"/>
      <w:lvlText w:val="-"/>
      <w:lvlJc w:val="left"/>
      <w:pPr>
        <w:tabs>
          <w:tab w:val="num" w:pos="1440"/>
        </w:tabs>
        <w:ind w:left="1080" w:hanging="360"/>
      </w:pPr>
      <w:rPr>
        <w:rFonts w:ascii="Aptos" w:hAnsi="Aptos" w:hint="default" w:eastAsia="Aptos" w:cs="Aptos"/>
        <w:sz w:val="20"/>
      </w:rPr>
    </w:lvl>
    <w:lvl w:ilvl="2" w:tplc="B5948C8C" w:tentative="1">
      <w:start w:val="1"/>
      <w:numFmt w:val="bullet"/>
      <w:lvlText w:val=""/>
      <w:lvlJc w:val="left"/>
      <w:pPr>
        <w:tabs>
          <w:tab w:val="num" w:pos="1800"/>
        </w:tabs>
        <w:ind w:left="1440" w:hanging="360"/>
      </w:pPr>
      <w:rPr>
        <w:rFonts w:ascii="Wingdings" w:hAnsi="Wingdings" w:hint="default" w:eastAsia="Wingdings" w:cs="Wingdings"/>
        <w:sz w:val="20"/>
      </w:rPr>
    </w:lvl>
    <w:lvl w:ilvl="3" w:tplc="69BCC7FC" w:tentative="1">
      <w:start w:val="1"/>
      <w:numFmt w:val="bullet"/>
      <w:lvlText w:val="-"/>
      <w:lvlJc w:val="left"/>
      <w:pPr>
        <w:tabs>
          <w:tab w:val="num" w:pos="2160"/>
        </w:tabs>
        <w:ind w:left="1800" w:hanging="360"/>
      </w:pPr>
      <w:rPr>
        <w:rFonts w:ascii="Aptos" w:hAnsi="Aptos" w:hint="default" w:eastAsia="Aptos" w:cs="Aptos"/>
        <w:sz w:val="20"/>
      </w:rPr>
    </w:lvl>
    <w:lvl w:ilvl="4" w:tplc="BEAAF45C" w:tentative="1">
      <w:start w:val="1"/>
      <w:numFmt w:val="bullet"/>
      <w:lvlText w:val=""/>
      <w:lvlJc w:val="left"/>
      <w:pPr>
        <w:tabs>
          <w:tab w:val="num" w:pos="2520"/>
        </w:tabs>
        <w:ind w:left="2160" w:hanging="360"/>
      </w:pPr>
      <w:rPr>
        <w:rFonts w:ascii="Symbol" w:hAnsi="Symbol" w:hint="default" w:eastAsia="Symbol" w:cs="Symbol"/>
        <w:sz w:val="20"/>
      </w:rPr>
    </w:lvl>
    <w:lvl w:ilvl="5" w:tplc="EF3C75EA" w:tentative="1">
      <w:start w:val="1"/>
      <w:numFmt w:val="bullet"/>
      <w:lvlText w:val="-"/>
      <w:lvlJc w:val="left"/>
      <w:pPr>
        <w:tabs>
          <w:tab w:val="num" w:pos="2880"/>
        </w:tabs>
        <w:ind w:left="2520" w:hanging="360"/>
      </w:pPr>
      <w:rPr>
        <w:rFonts w:ascii="Aptos" w:hAnsi="Aptos" w:hint="default" w:eastAsia="Aptos" w:cs="Aptos"/>
        <w:sz w:val="20"/>
      </w:rPr>
    </w:lvl>
    <w:lvl w:ilvl="6" w:tplc="F7B442A4" w:tentative="1">
      <w:start w:val="1"/>
      <w:numFmt w:val="bullet"/>
      <w:lvlText w:val=""/>
      <w:lvlJc w:val="left"/>
      <w:pPr>
        <w:tabs>
          <w:tab w:val="num" w:pos="3240"/>
        </w:tabs>
        <w:ind w:left="2880" w:hanging="360"/>
      </w:pPr>
      <w:rPr>
        <w:rFonts w:ascii="Wingdings" w:hAnsi="Wingdings" w:hint="default" w:eastAsia="Wingdings" w:cs="Wingdings"/>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1080"/>
        </w:tabs>
        <w:ind w:left="720" w:hanging="360"/>
      </w:pPr>
      <w:rPr>
        <w:rFonts w:ascii="Symbol" w:hAnsi="Symbol" w:hint="default" w:eastAsia="Symbol" w:cs="Symbol"/>
        <w:sz w:val="20"/>
      </w:rPr>
    </w:lvl>
    <w:lvl w:ilvl="1" w:tplc="5834435A" w:tentative="1">
      <w:start w:val="1"/>
      <w:numFmt w:val="bullet"/>
      <w:lvlText w:val="-"/>
      <w:lvlJc w:val="left"/>
      <w:pPr>
        <w:tabs>
          <w:tab w:val="num" w:pos="1440"/>
        </w:tabs>
        <w:ind w:left="1080" w:hanging="360"/>
      </w:pPr>
      <w:rPr>
        <w:rFonts w:ascii="Aptos" w:hAnsi="Aptos" w:hint="default" w:eastAsia="Aptos" w:cs="Aptos"/>
        <w:sz w:val="20"/>
      </w:rPr>
    </w:lvl>
    <w:lvl w:ilvl="2" w:tplc="2E7488EA" w:tentative="1">
      <w:start w:val="1"/>
      <w:numFmt w:val="bullet"/>
      <w:lvlText w:val=""/>
      <w:lvlJc w:val="left"/>
      <w:pPr>
        <w:tabs>
          <w:tab w:val="num" w:pos="1800"/>
        </w:tabs>
        <w:ind w:left="1440" w:hanging="360"/>
      </w:pPr>
      <w:rPr>
        <w:rFonts w:ascii="Wingdings" w:hAnsi="Wingdings" w:hint="default" w:eastAsia="Wingdings" w:cs="Wingdings"/>
        <w:sz w:val="20"/>
      </w:rPr>
    </w:lvl>
    <w:lvl w:ilvl="3" w:tplc="D924CBA8" w:tentative="1">
      <w:start w:val="1"/>
      <w:numFmt w:val="bullet"/>
      <w:lvlText w:val="-"/>
      <w:lvlJc w:val="left"/>
      <w:pPr>
        <w:tabs>
          <w:tab w:val="num" w:pos="2160"/>
        </w:tabs>
        <w:ind w:left="1800" w:hanging="360"/>
      </w:pPr>
      <w:rPr>
        <w:rFonts w:ascii="Aptos" w:hAnsi="Aptos" w:hint="default" w:eastAsia="Aptos" w:cs="Aptos"/>
        <w:sz w:val="20"/>
      </w:rPr>
    </w:lvl>
    <w:lvl w:ilvl="4" w:tplc="749E33E0" w:tentative="1">
      <w:start w:val="1"/>
      <w:numFmt w:val="bullet"/>
      <w:lvlText w:val=""/>
      <w:lvlJc w:val="left"/>
      <w:pPr>
        <w:tabs>
          <w:tab w:val="num" w:pos="2520"/>
        </w:tabs>
        <w:ind w:left="2160" w:hanging="360"/>
      </w:pPr>
      <w:rPr>
        <w:rFonts w:ascii="Symbol" w:hAnsi="Symbol" w:hint="default" w:eastAsia="Symbol" w:cs="Symbol"/>
        <w:sz w:val="20"/>
      </w:rPr>
    </w:lvl>
    <w:lvl w:ilvl="5" w:tplc="79227362" w:tentative="1">
      <w:start w:val="1"/>
      <w:numFmt w:val="bullet"/>
      <w:lvlText w:val="-"/>
      <w:lvlJc w:val="left"/>
      <w:pPr>
        <w:tabs>
          <w:tab w:val="num" w:pos="2880"/>
        </w:tabs>
        <w:ind w:left="2520" w:hanging="360"/>
      </w:pPr>
      <w:rPr>
        <w:rFonts w:ascii="Aptos" w:hAnsi="Aptos" w:hint="default" w:eastAsia="Aptos" w:cs="Aptos"/>
        <w:sz w:val="20"/>
      </w:rPr>
    </w:lvl>
    <w:lvl w:ilvl="6" w:tplc="14487828" w:tentative="1">
      <w:start w:val="1"/>
      <w:numFmt w:val="bullet"/>
      <w:lvlText w:val=""/>
      <w:lvlJc w:val="left"/>
      <w:pPr>
        <w:tabs>
          <w:tab w:val="num" w:pos="3240"/>
        </w:tabs>
        <w:ind w:left="2880" w:hanging="360"/>
      </w:pPr>
      <w:rPr>
        <w:rFonts w:ascii="Wingdings" w:hAnsi="Wingdings" w:hint="default" w:eastAsia="Wingdings" w:cs="Wingdings"/>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1080"/>
        </w:tabs>
        <w:ind w:left="720" w:hanging="360"/>
      </w:pPr>
      <w:rPr>
        <w:rFonts w:ascii="Symbol" w:hAnsi="Symbol" w:hint="default" w:eastAsia="Symbol" w:cs="Symbol"/>
        <w:sz w:val="20"/>
      </w:rPr>
    </w:lvl>
    <w:lvl w:ilvl="1" w:tplc="F4DA0E94" w:tentative="1">
      <w:start w:val="1"/>
      <w:numFmt w:val="bullet"/>
      <w:lvlText w:val="-"/>
      <w:lvlJc w:val="left"/>
      <w:pPr>
        <w:tabs>
          <w:tab w:val="num" w:pos="1440"/>
        </w:tabs>
        <w:ind w:left="1080" w:hanging="360"/>
      </w:pPr>
      <w:rPr>
        <w:rFonts w:ascii="Aptos" w:hAnsi="Aptos" w:hint="default" w:eastAsia="Aptos" w:cs="Aptos"/>
        <w:sz w:val="20"/>
      </w:rPr>
    </w:lvl>
    <w:lvl w:ilvl="2" w:tplc="BA1E9208" w:tentative="1">
      <w:start w:val="1"/>
      <w:numFmt w:val="bullet"/>
      <w:lvlText w:val=""/>
      <w:lvlJc w:val="left"/>
      <w:pPr>
        <w:tabs>
          <w:tab w:val="num" w:pos="1800"/>
        </w:tabs>
        <w:ind w:left="1440" w:hanging="360"/>
      </w:pPr>
      <w:rPr>
        <w:rFonts w:ascii="Wingdings" w:hAnsi="Wingdings" w:hint="default" w:eastAsia="Wingdings" w:cs="Wingdings"/>
        <w:sz w:val="20"/>
      </w:rPr>
    </w:lvl>
    <w:lvl w:ilvl="3" w:tplc="B3681290" w:tentative="1">
      <w:start w:val="1"/>
      <w:numFmt w:val="bullet"/>
      <w:lvlText w:val="-"/>
      <w:lvlJc w:val="left"/>
      <w:pPr>
        <w:tabs>
          <w:tab w:val="num" w:pos="2160"/>
        </w:tabs>
        <w:ind w:left="1800" w:hanging="360"/>
      </w:pPr>
      <w:rPr>
        <w:rFonts w:ascii="Aptos" w:hAnsi="Aptos" w:hint="default" w:eastAsia="Aptos" w:cs="Aptos"/>
        <w:sz w:val="20"/>
      </w:rPr>
    </w:lvl>
    <w:lvl w:ilvl="4" w:tplc="A508AD5A" w:tentative="1">
      <w:start w:val="1"/>
      <w:numFmt w:val="bullet"/>
      <w:lvlText w:val=""/>
      <w:lvlJc w:val="left"/>
      <w:pPr>
        <w:tabs>
          <w:tab w:val="num" w:pos="2520"/>
        </w:tabs>
        <w:ind w:left="2160" w:hanging="360"/>
      </w:pPr>
      <w:rPr>
        <w:rFonts w:ascii="Symbol" w:hAnsi="Symbol" w:hint="default" w:eastAsia="Symbol" w:cs="Symbol"/>
        <w:sz w:val="20"/>
      </w:rPr>
    </w:lvl>
    <w:lvl w:ilvl="5" w:tplc="E74265EA" w:tentative="1">
      <w:start w:val="1"/>
      <w:numFmt w:val="bullet"/>
      <w:lvlText w:val="-"/>
      <w:lvlJc w:val="left"/>
      <w:pPr>
        <w:tabs>
          <w:tab w:val="num" w:pos="2880"/>
        </w:tabs>
        <w:ind w:left="2520" w:hanging="360"/>
      </w:pPr>
      <w:rPr>
        <w:rFonts w:ascii="Aptos" w:hAnsi="Aptos" w:hint="default" w:eastAsia="Aptos" w:cs="Aptos"/>
        <w:sz w:val="20"/>
      </w:rPr>
    </w:lvl>
    <w:lvl w:ilvl="6" w:tplc="418CFDD0" w:tentative="1">
      <w:start w:val="1"/>
      <w:numFmt w:val="bullet"/>
      <w:lvlText w:val=""/>
      <w:lvlJc w:val="left"/>
      <w:pPr>
        <w:tabs>
          <w:tab w:val="num" w:pos="3240"/>
        </w:tabs>
        <w:ind w:left="2880" w:hanging="360"/>
      </w:pPr>
      <w:rPr>
        <w:rFonts w:ascii="Wingdings" w:hAnsi="Wingdings" w:hint="default" w:eastAsia="Wingdings" w:cs="Wingdings"/>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720" w:hanging="360"/>
        <w:tabs>
          <w:tab w:val="num" w:pos="1080"/>
        </w:tabs>
      </w:pPr>
      <w:rPr>
        <w:rFonts w:ascii="Symbol" w:hAnsi="Symbol" w:hint="default" w:eastAsia="Symbol" w:cs="Symbol"/>
      </w:rPr>
    </w:lvl>
    <w:lvl w:ilvl="1" w:tplc="04090003" w:tentative="1">
      <w:start w:val="1"/>
      <w:numFmt w:val="bullet"/>
      <w:lvlText w:val="-"/>
      <w:lvlJc w:val="left"/>
      <w:pPr>
        <w:ind w:left="1080" w:hanging="360"/>
        <w:tabs>
          <w:tab w:val="num" w:pos="1440"/>
        </w:tabs>
      </w:pPr>
      <w:rPr>
        <w:rFonts w:ascii="Aptos" w:hAnsi="Aptos" w:hint="default" w:eastAsia="Aptos" w:cs="Aptos"/>
      </w:rPr>
    </w:lvl>
    <w:lvl w:ilvl="2" w:tplc="04090005" w:tentative="1">
      <w:start w:val="1"/>
      <w:numFmt w:val="bullet"/>
      <w:lvlText w:val=""/>
      <w:lvlJc w:val="left"/>
      <w:pPr>
        <w:ind w:left="1440" w:hanging="360"/>
        <w:tabs>
          <w:tab w:val="num" w:pos="1800"/>
        </w:tabs>
      </w:pPr>
      <w:rPr>
        <w:rFonts w:ascii="Wingdings" w:hAnsi="Wingdings" w:hint="default" w:eastAsia="Wingdings" w:cs="Wingdings"/>
      </w:rPr>
    </w:lvl>
    <w:lvl w:ilvl="3" w:tplc="04090001" w:tentative="1">
      <w:start w:val="1"/>
      <w:numFmt w:val="bullet"/>
      <w:lvlText w:val="-"/>
      <w:lvlJc w:val="left"/>
      <w:pPr>
        <w:ind w:left="1800" w:hanging="360"/>
        <w:tabs>
          <w:tab w:val="num" w:pos="2160"/>
        </w:tabs>
      </w:pPr>
      <w:rPr>
        <w:rFonts w:ascii="Aptos" w:hAnsi="Aptos" w:hint="default" w:eastAsia="Aptos" w:cs="Aptos"/>
      </w:rPr>
    </w:lvl>
    <w:lvl w:ilvl="4" w:tplc="04090003" w:tentative="1">
      <w:start w:val="1"/>
      <w:numFmt w:val="bullet"/>
      <w:lvlText w:val=""/>
      <w:lvlJc w:val="left"/>
      <w:pPr>
        <w:ind w:left="2160" w:hanging="360"/>
        <w:tabs>
          <w:tab w:val="num" w:pos="2520"/>
        </w:tabs>
      </w:pPr>
      <w:rPr>
        <w:rFonts w:ascii="Symbol" w:hAnsi="Symbol" w:hint="default" w:eastAsia="Symbol" w:cs="Symbol"/>
      </w:rPr>
    </w:lvl>
    <w:lvl w:ilvl="5" w:tplc="04090005" w:tentative="1">
      <w:start w:val="1"/>
      <w:numFmt w:val="bullet"/>
      <w:lvlText w:val="-"/>
      <w:lvlJc w:val="left"/>
      <w:pPr>
        <w:ind w:left="2520" w:hanging="360"/>
        <w:tabs>
          <w:tab w:val="num" w:pos="2880"/>
        </w:tabs>
      </w:pPr>
      <w:rPr>
        <w:rFonts w:ascii="Aptos" w:hAnsi="Aptos" w:hint="default" w:eastAsia="Aptos" w:cs="Aptos"/>
      </w:rPr>
    </w:lvl>
    <w:lvl w:ilvl="6" w:tplc="04090001" w:tentative="1">
      <w:start w:val="1"/>
      <w:numFmt w:val="bullet"/>
      <w:lvlText w:val=""/>
      <w:lvlJc w:val="left"/>
      <w:pPr>
        <w:ind w:left="2880" w:hanging="360"/>
        <w:tabs>
          <w:tab w:val="num" w:pos="3240"/>
        </w:tabs>
      </w:pPr>
      <w:rPr>
        <w:rFonts w:ascii="Wingdings" w:hAnsi="Wingdings" w:hint="default" w:eastAsia="Wingdings" w:cs="Wingdings"/>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080"/>
        </w:tabs>
        <w:ind w:left="720" w:hanging="360"/>
      </w:pPr>
      <w:rPr>
        <w:rFonts w:hint="default" w:ascii="Symbol" w:hAnsi="Symbol"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2DAD390"/>
    <w:multiLevelType w:val="multilevel"/>
    <w:lvl w:ilvl="0">
      <w:numFmt w:val="bullet"/>
      <w:lvlText w:val=""/>
      <w:lvlJc w:val="left"/>
      <w:pPr>
        <w:ind w:left="720" w:hanging="360"/>
        <w:tabs>
          <w:tab w:val="num" w:pos="1080"/>
        </w:tabs>
      </w:pPr>
      <w:rPr>
        <w:rFonts w:ascii="Symbol" w:hAnsi="Symbol" w:cs="Symbol" w:hint="default" w:eastAsia="Symbol"/>
      </w:rPr>
    </w:lvl>
    <w:lvl w:ilvl="1">
      <w:numFmt w:val="bullet"/>
      <w:lvlText w:val="-"/>
      <w:lvlJc w:val="left"/>
      <w:pPr>
        <w:ind w:left="1080" w:hanging="360"/>
        <w:tabs>
          <w:tab w:val="num" w:pos="1440"/>
        </w:tabs>
      </w:pPr>
      <w:rPr>
        <w:rFonts w:ascii="Aptos" w:hAnsi="Aptos" w:cs="Aptos" w:hint="default" w:eastAsia="Aptos"/>
      </w:rPr>
    </w:lvl>
    <w:lvl w:ilvl="2">
      <w:numFmt w:val="bullet"/>
      <w:lvlText w:val=""/>
      <w:lvlJc w:val="left"/>
      <w:pPr>
        <w:ind w:left="1440" w:hanging="360"/>
        <w:tabs>
          <w:tab w:val="num" w:pos="1800"/>
        </w:tabs>
      </w:pPr>
      <w:rPr>
        <w:rFonts w:ascii="Wingdings" w:hAnsi="Wingdings" w:cs="Wingdings" w:hint="default" w:eastAsia="Wingdings"/>
      </w:rPr>
    </w:lvl>
    <w:lvl w:ilvl="3">
      <w:numFmt w:val="bullet"/>
      <w:lvlText w:val="-"/>
      <w:lvlJc w:val="left"/>
      <w:pPr>
        <w:ind w:left="1800" w:hanging="360"/>
        <w:tabs>
          <w:tab w:val="num" w:pos="2160"/>
        </w:tabs>
      </w:pPr>
      <w:rPr>
        <w:rFonts w:ascii="Aptos" w:hAnsi="Aptos" w:cs="Aptos" w:hint="default" w:eastAsia="Aptos"/>
      </w:rPr>
    </w:lvl>
    <w:lvl w:ilvl="4">
      <w:numFmt w:val="bullet"/>
      <w:lvlText w:val=""/>
      <w:lvlJc w:val="left"/>
      <w:pPr>
        <w:ind w:left="2160" w:hanging="360"/>
        <w:tabs>
          <w:tab w:val="num" w:pos="2520"/>
        </w:tabs>
      </w:pPr>
      <w:rPr>
        <w:rFonts w:ascii="Symbol" w:hAnsi="Symbol" w:cs="Symbol" w:hint="default" w:eastAsia="Symbol"/>
      </w:rPr>
    </w:lvl>
    <w:lvl w:ilvl="5">
      <w:numFmt w:val="bullet"/>
      <w:lvlText w:val="-"/>
      <w:lvlJc w:val="left"/>
      <w:pPr>
        <w:ind w:left="2520" w:hanging="360"/>
        <w:tabs>
          <w:tab w:val="num" w:pos="2880"/>
        </w:tabs>
      </w:pPr>
      <w:rPr>
        <w:rFonts w:ascii="Aptos" w:hAnsi="Aptos" w:cs="Aptos" w:hint="default" w:eastAsia="Aptos"/>
      </w:rPr>
    </w:lvl>
    <w:lvl w:ilvl="6">
      <w:numFmt w:val="bullet"/>
      <w:lvlText w:val=""/>
      <w:lvlJc w:val="left"/>
      <w:pPr>
        <w:ind w:left="2880" w:hanging="360"/>
        <w:tabs>
          <w:tab w:val="num" w:pos="3240"/>
        </w:tabs>
      </w:pPr>
      <w:rPr>
        <w:rFonts w:ascii="Wingdings" w:hAnsi="Wingdings" w:cs="Wingdings" w:hint="default" w:eastAsia="Wingdings"/>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059083935">
    <w:abstractNumId w:val="10"/>
    <w:lvlOverride w:ilvl="0">
      <w:lvl w:ilvl="0">
        <w:start w:val="1"/>
        <w:numFmt w:val="bullet"/>
        <w:lvlText w:val=""/>
        <w:legacy w:legacy="1" w:legacySpace="0" w:legacyIndent="283"/>
        <w:lvlJc w:val="left"/>
        <w:pPr>
          <w:ind w:left="720" w:hanging="360"/>
          <w:tabs>
            <w:tab w:val="num" w:pos="1080"/>
          </w:tabs>
        </w:pPr>
        <w:rPr>
          <w:rFonts w:ascii="Symbol" w:hAnsi="Symbol" w:hint="default" w:eastAsia="Symbol" w:cs="Symbol"/>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eastAsia="Symbol" w:cs="Symbol"/>
        </w:rPr>
        <w:pPr>
          <w:ind w:left="720" w:hanging="360"/>
          <w:tabs>
            <w:tab w:val="num" w:pos="1080"/>
          </w:tabs>
        </w:p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19"/>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technical/published-drafts" TargetMode="External"/><Relationship Id="rId13" Type="http://schemas.openxmlformats.org/officeDocument/2006/relationships/hyperlink" Target="https://osgi.org/download/r6/osgi.residential-6.0.0.pdf" TargetMode="External"/><Relationship Id="rId14" Type="http://schemas.openxmlformats.org/officeDocument/2006/relationships/hyperlink" Target="http://www.onem2m.org/images/files/oneM2M-Drafting-Rules.pdf"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357</Words>
  <Characters>1911</Characters>
  <Application>Microsoft Office Word</Application>
  <DocSecurity>0</DocSecurity>
  <Lines>70</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11</cp:revision>
  <cp:lastPrinted>2010-05-07T15:32:00Z</cp:lastPrinted>
  <dcterms:created xsi:type="dcterms:W3CDTF">2025-11-08T18:28:00Z</dcterms:created>
  <dcterms:modified xsi:type="dcterms:W3CDTF">2026-09-10T00:54:00Z</dcterms:modified>
</cp:coreProperties>
</file>