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3.png" ContentType="image/png"/>
  <Override PartName="/word/media/rId40.png" ContentType="image/png"/>
  <Override PartName="/word/media/rId44.png" ContentType="image/png"/>
  <Override PartName="/word/media/rId36.jpg" ContentType="image/jpe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oneM2M</w:t>
            </w:r>
            <w:r>
              <w:br/>
            </w:r>
            <w:r>
              <w:t xml:space="preserve">Technical Specification</w:t>
            </w:r>
          </w:p>
        </w:tc>
        <w:tc>
          <w:tcPr/>
          <w:p>
            <w:pPr>
              <w:pStyle w:val="Compact"/>
            </w:pPr>
            <w:r>
              <w:t xml:space="preserve">oneM2M</w:t>
            </w:r>
            <w:r>
              <w:br/>
            </w:r>
            <w:r>
              <w:t xml:space="preserve">Technical Specification</w:t>
            </w:r>
          </w:p>
        </w:tc>
      </w:tr>
      <w:tr>
        <w:tc>
          <w:tcPr/>
          <w:p>
            <w:pPr>
              <w:pStyle w:val="Compact"/>
            </w:pPr>
            <w:r>
              <w:t xml:space="preserve">Document Number</w:t>
            </w:r>
          </w:p>
        </w:tc>
        <w:tc>
          <w:tcPr/>
          <w:p>
            <w:pPr>
              <w:pStyle w:val="Compact"/>
            </w:pPr>
            <w:r>
              <w:t xml:space="preserve">TS-0041-V-5.1.0</w:t>
            </w:r>
          </w:p>
        </w:tc>
      </w:tr>
      <w:tr>
        <w:tc>
          <w:tcPr/>
          <w:p>
            <w:pPr>
              <w:pStyle w:val="Compact"/>
            </w:pPr>
            <w:r>
              <w:t xml:space="preserve">Document Name:</w:t>
            </w:r>
          </w:p>
        </w:tc>
        <w:tc>
          <w:tcPr/>
          <w:p>
            <w:pPr>
              <w:pStyle w:val="Compact"/>
            </w:pPr>
            <w:r>
              <w:t xml:space="preserve">oneM2M-SensorThings Interworking\</w:t>
            </w:r>
          </w:p>
        </w:tc>
      </w:tr>
      <w:tr>
        <w:tc>
          <w:tcPr/>
          <w:p>
            <w:pPr>
              <w:pStyle w:val="Compact"/>
            </w:pPr>
            <w:r>
              <w:t xml:space="preserve">Date:</w:t>
            </w:r>
          </w:p>
        </w:tc>
        <w:tc>
          <w:tcPr/>
          <w:p>
            <w:pPr>
              <w:pStyle w:val="Compact"/>
            </w:pPr>
            <w:r>
              <w:t xml:space="preserve">2024-09-13</w:t>
            </w:r>
          </w:p>
        </w:tc>
      </w:tr>
      <w:tr>
        <w:tc>
          <w:tcPr/>
          <w:p>
            <w:pPr>
              <w:pStyle w:val="Compact"/>
            </w:pPr>
            <w:r>
              <w:t xml:space="preserve">Abstract:</w:t>
            </w:r>
          </w:p>
        </w:tc>
        <w:tc>
          <w:tcPr/>
          <w:p>
            <w:pPr>
              <w:pStyle w:val="Compact"/>
            </w:pPr>
            <w:r>
              <w:t xml:space="preserve">&lt; An abstract of the specification and information that may be used in subsequent electronic searches&gt;</w:t>
            </w:r>
          </w:p>
        </w:tc>
      </w:tr>
      <w:tr>
        <w:tc>
          <w:tcPr/>
          <w:p>
            <w:pPr>
              <w:pStyle w:val="Compact"/>
            </w:pPr>
            <w:r>
              <w:t xml:space="preserve">Template Version:</w:t>
            </w:r>
          </w:p>
        </w:tc>
        <w:tc>
          <w:tcPr/>
          <w:p>
            <w:pPr>
              <w:pStyle w:val="Compact"/>
            </w:pPr>
            <w:r>
              <w:t xml:space="preserve">January 2020 (do not modify)</w:t>
            </w:r>
          </w:p>
        </w:tc>
      </w:tr>
    </w:tbl>
    <w:p>
      <w:pPr>
        <w:pStyle w:val="BodyText"/>
      </w:pPr>
      <w:r>
        <w:t xml:space="preserve">The present document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2024,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introduction-to-ogc-sensorthings-api">
        <w:r>
          <w:rPr>
            <w:rStyle w:val="Hyperlink"/>
          </w:rPr>
          <w:t xml:space="preserve">5 Introduction to OGC SensorThings API</w:t>
        </w:r>
      </w:hyperlink>
      <w:r>
        <w:br/>
      </w:r>
      <w:hyperlink w:anchor="X5abb80ab801ecd6d30d47e6986a4a41afff489a">
        <w:r>
          <w:rPr>
            <w:rStyle w:val="Hyperlink"/>
          </w:rPr>
          <w:t xml:space="preserve">6 Architecture Model of OGC/STA to oneM2M interworking</w:t>
        </w:r>
      </w:hyperlink>
      <w:r>
        <w:br/>
      </w:r>
      <w:r>
        <w:t xml:space="preserve">    </w:t>
      </w:r>
      <w:hyperlink w:anchor="introduction">
        <w:r>
          <w:rPr>
            <w:rStyle w:val="Hyperlink"/>
          </w:rPr>
          <w:t xml:space="preserve">6.0 Introduction</w:t>
        </w:r>
      </w:hyperlink>
      <w:r>
        <w:br/>
      </w:r>
      <w:r>
        <w:t xml:space="preserve">    </w:t>
      </w:r>
      <w:hyperlink w:anchor="ogcsta-to-onem2m-data-model-mapping">
        <w:r>
          <w:rPr>
            <w:rStyle w:val="Hyperlink"/>
          </w:rPr>
          <w:t xml:space="preserve">6.1 OGC/STA-to-oneM2M Data Model Mapping</w:t>
        </w:r>
      </w:hyperlink>
      <w:r>
        <w:br/>
      </w:r>
      <w:hyperlink w:anchor="proforma-copyright-release-text-block">
        <w:r>
          <w:rPr>
            <w:rStyle w:val="Hyperlink"/>
          </w:rPr>
          <w:t xml:space="preserve">Proforma copyright release text block</w:t>
        </w:r>
      </w:hyperlink>
      <w:r>
        <w:br/>
      </w:r>
      <w:r>
        <w:t xml:space="preserve">    [Annexes]</w:t>
      </w:r>
      <w:r>
        <w:br/>
      </w:r>
      <w:r>
        <w:t xml:space="preserve">[Annex &lt;A&gt; (Informative/Normative):Remove Informative or Normative as appropriat Title of annex (style H9)]</w:t>
      </w:r>
      <w:r>
        <w:br/>
      </w:r>
      <w:r>
        <w:t xml:space="preserve">[Annex &lt;B&gt; (Informative/Normative):Remove Informative or Normative as appropriat Title of annex (style H9)]</w:t>
      </w:r>
      <w:r>
        <w:br/>
      </w:r>
      <w:r>
        <w:t xml:space="preserve">    [B.1 First clause of the annex (style H1)]</w:t>
      </w:r>
      <w:r>
        <w:br/>
      </w:r>
      <w:r>
        <w:t xml:space="preserve">        [B.1.1 First subdivided clause of the annex (style H2)]</w:t>
      </w:r>
      <w:r>
        <w:br/>
      </w:r>
      <w:r>
        <w:t xml:space="preserve">[Annex &lt;y&gt;:Bibliography]</w:t>
      </w:r>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w:t>
      </w:r>
    </w:p>
    <w:p>
      <w:pPr>
        <w:pStyle w:val="BodyText"/>
      </w:pPr>
      <w:r>
        <w:rPr>
          <w:rStyle w:val="VerbatimChar"/>
        </w:rPr>
        <w:t xml:space="preserve">EXAMPLE:    The present document provides the necessary adaptions to the endorsed document.</w:t>
      </w:r>
    </w:p>
    <w:p>
      <w:pPr>
        <w:pStyle w:val="BodyText"/>
      </w:pPr>
      <w:r>
        <w:t xml:space="preserve">The Scope</w:t>
      </w:r>
      <w:r>
        <w:t xml:space="preserve"> </w:t>
      </w:r>
      <w:r>
        <w:rPr>
          <w:b/>
          <w:bCs/>
        </w:rPr>
        <w:t xml:space="preserve">shall not</w:t>
      </w:r>
      <w:r>
        <w:t xml:space="preserve"> </w:t>
      </w:r>
      <w:r>
        <w:t xml:space="preserve">contain requirements.</w:t>
      </w:r>
    </w:p>
    <w:bookmarkEnd w:id="24"/>
    <w:bookmarkStart w:id="27" w:name="references"/>
    <w:p>
      <w:pPr>
        <w:pStyle w:val="Heading1"/>
      </w:pPr>
      <w:r>
        <w:t xml:space="preserve">2 References</w:t>
      </w:r>
    </w:p>
    <w:p>
      <w:pPr>
        <w:pStyle w:val="FirstParagraph"/>
      </w:pPr>
      <w:r>
        <w:t xml:space="preserve">The following text block applies.</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bookmarkStart w:id="25" w:name="normative-references"/>
    <w:p>
      <w:pPr>
        <w:pStyle w:val="Heading2"/>
      </w:pPr>
      <w:r>
        <w:t xml:space="preserve">2.1 Normative references</w:t>
      </w:r>
    </w:p>
    <w:p>
      <w:pPr>
        <w:pStyle w:val="Compact"/>
        <w:numPr>
          <w:ilvl w:val="0"/>
          <w:numId w:val="1002"/>
        </w:numPr>
      </w:pPr>
      <w:r>
        <w:t xml:space="preserve">[1]</w:t>
      </w:r>
      <w:r>
        <w:t xml:space="preserve"> </w:t>
      </w:r>
      <w:r>
        <w:t xml:space="preserve">OGC SensorThings API</w:t>
      </w:r>
      <w:r>
        <w:t xml:space="preserve"> </w:t>
      </w:r>
      <w:r>
        <w:t xml:space="preserve">“Part 1: Sensing Version 1.1”</w:t>
      </w:r>
      <w:r>
        <w:t xml:space="preserve"> </w:t>
      </w:r>
      <w:r>
        <w:t xml:space="preserve">(http://www.opengis.net/doc/is/sensorthings/1.1)</w:t>
      </w:r>
    </w:p>
    <w:p>
      <w:pPr>
        <w:pStyle w:val="Compact"/>
        <w:numPr>
          <w:ilvl w:val="0"/>
          <w:numId w:val="1002"/>
        </w:numPr>
      </w:pPr>
      <w:r>
        <w:t xml:space="preserve">[2]</w:t>
      </w:r>
      <w:r>
        <w:t xml:space="preserve"> </w:t>
      </w:r>
      <w:r>
        <w:t xml:space="preserve">oneM2M TS-0033 (V3.0.0):</w:t>
      </w:r>
      <w:r>
        <w:t xml:space="preserve"> </w:t>
      </w:r>
      <w:r>
        <w:t xml:space="preserve">“Interworking Framework”</w:t>
      </w:r>
    </w:p>
    <w:bookmarkEnd w:id="25"/>
    <w:bookmarkStart w:id="26" w:name="informative-references"/>
    <w:p>
      <w:pPr>
        <w:pStyle w:val="Heading2"/>
      </w:pPr>
      <w:r>
        <w:t xml:space="preserve">2.2 Informative references</w:t>
      </w:r>
    </w:p>
    <w:p>
      <w:pPr>
        <w:pStyle w:val="FirstParagraph"/>
      </w:pPr>
      <w:r>
        <w:t xml:space="preserve">Clause 2.2 shall only contain informative references which are cited in the document itself.</w:t>
      </w:r>
    </w:p>
    <w:p>
      <w:pPr>
        <w:pStyle w:val="BodyText"/>
      </w:pPr>
      <w:r>
        <w:t xml:space="preserve">The following referenced documents are not necessary for the application of the present document but they assist the user with regard to a particular subject area.</w:t>
      </w:r>
    </w:p>
    <w:p>
      <w:pPr>
        <w:numPr>
          <w:ilvl w:val="0"/>
          <w:numId w:val="1003"/>
        </w:numPr>
      </w:pPr>
      <w:r>
        <w:t xml:space="preserve">Use the</w:t>
      </w:r>
      <w:r>
        <w:t xml:space="preserve"> </w:t>
      </w:r>
      <w:r>
        <w:rPr>
          <w:b/>
          <w:bCs/>
        </w:rPr>
        <w:t xml:space="preserve">EX</w:t>
      </w:r>
      <w:r>
        <w:t xml:space="preserve"> </w:t>
      </w:r>
      <w:r>
        <w:t xml:space="preserve">style, add the letter</w:t>
      </w:r>
      <w:r>
        <w:t xml:space="preserve"> </w:t>
      </w:r>
      <w:r>
        <w:t xml:space="preserve">“i”</w:t>
      </w:r>
      <w:r>
        <w:t xml:space="preserve"> </w:t>
      </w:r>
      <w:r>
        <w:t xml:space="preserve">(for informative) before the number (which shall be in square brackets) and separate this from the title with a tab (you may use sequence fields for automatically numbering references).</w:t>
      </w:r>
    </w:p>
    <w:p>
      <w:pPr>
        <w:numPr>
          <w:ilvl w:val="0"/>
          <w:numId w:val="1003"/>
        </w:numPr>
      </w:pPr>
      <w:r>
        <w:t xml:space="preserve">[i.1]</w:t>
      </w:r>
      <w:r>
        <w:t xml:space="preserve"> </w:t>
      </w:r>
      <w:r>
        <w:t xml:space="preserve">oneM2M Drafting Rules (http://www.onem2m.org/images/files/oneM2M-Drafting-Rules.pdf)</w:t>
      </w:r>
    </w:p>
    <w:bookmarkEnd w:id="26"/>
    <w:bookmarkEnd w:id="27"/>
    <w:bookmarkStart w:id="31"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28" w:name="terms"/>
    <w:p>
      <w:pPr>
        <w:pStyle w:val="Heading2"/>
      </w:pPr>
      <w:r>
        <w:t xml:space="preserve">3.1 Terms</w:t>
      </w:r>
    </w:p>
    <w:p>
      <w:pPr>
        <w:pStyle w:val="FirstParagraph"/>
      </w:pPr>
      <w:r>
        <w:t xml:space="preserve">Clause numbering depends on applicability.</w:t>
      </w:r>
    </w:p>
    <w:p>
      <w:pPr>
        <w:pStyle w:val="BodyText"/>
      </w:pPr>
      <w:r>
        <w:t xml:space="preserve">- A definition shall not take the form of, or contain, a requirement.</w:t>
      </w:r>
      <w:r>
        <w:br/>
      </w:r>
      <w:r>
        <w:t xml:space="preserve">- The form of a definition shall be such that it can replace the term in context. Additional information shall be given only in the form of examples or notes (see below).</w:t>
      </w:r>
      <w:r>
        <w:br/>
      </w:r>
      <w:r>
        <w:t xml:space="preserve">- The terms and definitions shall be presented in alphabetical order.</w:t>
      </w:r>
    </w:p>
    <w:p>
      <w:pPr>
        <w:pStyle w:val="BodyText"/>
      </w:pPr>
      <w:r>
        <w:t xml:space="preserve">For the purposes of the present document, the [following] terms and definitions [given in … and the following] apply:</w:t>
      </w:r>
    </w:p>
    <w:p>
      <w:pPr>
        <w:pStyle w:val="BodyText"/>
      </w:pPr>
      <w:r>
        <w:t xml:space="preserve">Definition format</w:t>
      </w:r>
    </w:p>
    <w:p>
      <w:pPr>
        <w:pStyle w:val="BodyText"/>
      </w:pPr>
      <w:r>
        <w:t xml:space="preserve">&lt;defined term&gt;: &lt;definition&gt;</w:t>
      </w:r>
    </w:p>
    <w:p>
      <w:pPr>
        <w:pStyle w:val="BodyText"/>
      </w:pPr>
      <w:r>
        <w:t xml:space="preserve">If a definition is taken from an external source, use the format below where [N] identifies the external document which must be listed in Section 2 References.</w:t>
      </w:r>
    </w:p>
    <w:p>
      <w:pPr>
        <w:pStyle w:val="BodyText"/>
      </w:pPr>
      <w:r>
        <w:t xml:space="preserve">&lt;defined term&gt;[N]: &lt;definition&gt;</w:t>
      </w:r>
    </w:p>
    <w:p>
      <w:pPr>
        <w:pStyle w:val="BodyText"/>
      </w:pPr>
      <w:r>
        <w:t xml:space="preserve">example 1: text used to clarify abstract rules by applying them literally</w:t>
      </w:r>
    </w:p>
    <w:p>
      <w:pPr>
        <w:pStyle w:val="BlockText"/>
      </w:pPr>
      <w:r>
        <w:t xml:space="preserve">NOTE: This may contain additional information.</w:t>
      </w:r>
    </w:p>
    <w:bookmarkEnd w:id="28"/>
    <w:bookmarkStart w:id="29" w:name="symbols"/>
    <w:p>
      <w:pPr>
        <w:pStyle w:val="Heading2"/>
      </w:pPr>
      <w:r>
        <w:t xml:space="preserve">3.2 Symbols</w:t>
      </w:r>
    </w:p>
    <w:p>
      <w:pPr>
        <w:pStyle w:val="FirstParagraph"/>
      </w:pPr>
      <w:r>
        <w:t xml:space="preserve">Clause numbering depends on applicability.</w:t>
      </w:r>
    </w:p>
    <w:p>
      <w:pPr>
        <w:pStyle w:val="BodyText"/>
      </w:pPr>
      <w:r>
        <w:t xml:space="preserve">For the purposes of the present document, the [following] symbols [given in … and the following] apply:</w:t>
      </w:r>
    </w:p>
    <w:p>
      <w:pPr>
        <w:pStyle w:val="BodyText"/>
      </w:pPr>
      <w:r>
        <w:t xml:space="preserve">Symbol format</w:t>
      </w:r>
    </w:p>
    <w:p>
      <w:pPr>
        <w:pStyle w:val="BodyText"/>
      </w:pPr>
      <w:r>
        <w:t xml:space="preserve">&lt;symbol&gt; &lt;Explanation&gt;</w:t>
      </w:r>
      <w:r>
        <w:br/>
      </w:r>
      <w:r>
        <w:t xml:space="preserve">&lt;2nd symbol&gt; &lt;2nd Explanation&gt;</w:t>
      </w:r>
      <w:r>
        <w:br/>
      </w:r>
      <w:r>
        <w:t xml:space="preserve">&lt;3rd symbol&gt; &lt;3rd Explanation&gt;</w:t>
      </w:r>
    </w:p>
    <w:bookmarkEnd w:id="29"/>
    <w:bookmarkStart w:id="30" w:name="abbreviations"/>
    <w:p>
      <w:pPr>
        <w:pStyle w:val="Heading2"/>
      </w:pPr>
      <w:r>
        <w:t xml:space="preserve">3.3 Abbreviations</w:t>
      </w:r>
    </w:p>
    <w:p>
      <w:pPr>
        <w:pStyle w:val="FirstParagraph"/>
      </w:pPr>
      <w:r>
        <w:t xml:space="preserve">Abbreviations should be ordered alphabetically.</w:t>
      </w:r>
    </w:p>
    <w:p>
      <w:pPr>
        <w:pStyle w:val="BodyText"/>
      </w:pPr>
      <w:r>
        <w:t xml:space="preserve">Clause numbering depends on applicability.</w:t>
      </w:r>
    </w:p>
    <w:p>
      <w:pPr>
        <w:pStyle w:val="BodyText"/>
      </w:pPr>
      <w:r>
        <w:t xml:space="preserve">For the purposes of the present document, the [following] abbreviations [given in … and the following] apply:</w:t>
      </w:r>
    </w:p>
    <w:p>
      <w:pPr>
        <w:pStyle w:val="BodyText"/>
      </w:pPr>
      <w:r>
        <w:t xml:space="preserve">Abbreviation format</w:t>
      </w:r>
    </w:p>
    <w:p>
      <w:pPr>
        <w:pStyle w:val="BodyText"/>
      </w:pPr>
      <w:r>
        <w:t xml:space="preserve">&lt;ABREVIATION1&gt; &lt;Explanation&gt;</w:t>
      </w:r>
      <w:r>
        <w:br/>
      </w:r>
      <w:r>
        <w:t xml:space="preserve">&lt;ABREVIATION2&gt; &lt;Explanation&gt;</w:t>
      </w:r>
      <w:r>
        <w:br/>
      </w:r>
      <w:r>
        <w:t xml:space="preserve">&lt;ABREVIATION3&gt; &lt;Explanation&gt;</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p>
    <w:bookmarkEnd w:id="32"/>
    <w:bookmarkStart w:id="39" w:name="introduction-to-ogc-sensorthings-api"/>
    <w:p>
      <w:pPr>
        <w:pStyle w:val="Heading1"/>
      </w:pPr>
      <w:r>
        <w:t xml:space="preserve">5 Introduction to OGC SensorThings API</w:t>
      </w:r>
    </w:p>
    <w:p>
      <w:pPr>
        <w:pStyle w:val="FirstParagraph"/>
      </w:pPr>
      <w:r>
        <w:t xml:space="preserve">The SensorThings API (STA) is a standard of the Open Geospatial Consortium (OGC). It provides a framework for communication and exchanging data between sensors and applications. The standard is devided in two parts. SensorThings API Part 1 is dedicated to sensing and was published in 2016 and updated in 2021.</w:t>
      </w:r>
      <w:r>
        <w:br/>
      </w:r>
      <w:r>
        <w:t xml:space="preserve">A STA-based architecture works in client/server mode. A sensor device pushes data to the SensorThings Server via HTTP. A SensorThings Server may also support MQTT protocol to support publish and subscribe capabilities. An interested application can subscribe to the MQTT-Broker, in order to get notified about new sensor events.</w:t>
      </w:r>
    </w:p>
    <w:p>
      <w:pPr>
        <w:pStyle w:val="CaptionedFigure"/>
      </w:pPr>
      <w:r>
        <w:drawing>
          <wp:inline>
            <wp:extent cx="4768381" cy="1221245"/>
            <wp:effectExtent b="0" l="0" r="0" t="0"/>
            <wp:docPr descr="Figure 5-1 STA message flow" title="" id="34" name="Picture"/>
            <a:graphic>
              <a:graphicData uri="http://schemas.openxmlformats.org/drawingml/2006/picture">
                <pic:pic>
                  <pic:nvPicPr>
                    <pic:cNvPr descr="media/STA_flow.png" id="35" name="Picture"/>
                    <pic:cNvPicPr>
                      <a:picLocks noChangeArrowheads="1" noChangeAspect="1"/>
                    </pic:cNvPicPr>
                  </pic:nvPicPr>
                  <pic:blipFill>
                    <a:blip r:embed="rId33"/>
                    <a:stretch>
                      <a:fillRect/>
                    </a:stretch>
                  </pic:blipFill>
                  <pic:spPr bwMode="auto">
                    <a:xfrm>
                      <a:off x="0" y="0"/>
                      <a:ext cx="4768381" cy="1221245"/>
                    </a:xfrm>
                    <a:prstGeom prst="rect">
                      <a:avLst/>
                    </a:prstGeom>
                    <a:noFill/>
                    <a:ln w="9525">
                      <a:noFill/>
                      <a:headEnd/>
                      <a:tailEnd/>
                    </a:ln>
                  </pic:spPr>
                </pic:pic>
              </a:graphicData>
            </a:graphic>
          </wp:inline>
        </w:drawing>
      </w:r>
    </w:p>
    <w:p>
      <w:pPr>
        <w:pStyle w:val="ImageCaption"/>
      </w:pPr>
      <w:r>
        <w:t xml:space="preserve">Figure 5-1 STA message flow</w:t>
      </w:r>
    </w:p>
    <w:p>
      <w:pPr>
        <w:pStyle w:val="BodyText"/>
      </w:pPr>
      <w:r>
        <w:t xml:space="preserve">The data in the SensorThings server are organized as according to</w:t>
      </w:r>
      <w:r>
        <w:t xml:space="preserve"> </w:t>
      </w:r>
      <w:r>
        <w:rPr>
          <w:b/>
          <w:bCs/>
        </w:rPr>
        <w:t xml:space="preserve">Sensing Entities</w:t>
      </w:r>
      <w:r>
        <w:t xml:space="preserve"> </w:t>
      </w:r>
      <w:r>
        <w:t xml:space="preserve">(see Figure 5-2: Sensing Entities data model.</w:t>
      </w:r>
    </w:p>
    <w:p>
      <w:pPr>
        <w:pStyle w:val="CaptionedFigure"/>
      </w:pPr>
      <w:r>
        <w:drawing>
          <wp:inline>
            <wp:extent cx="6108700" cy="4329587"/>
            <wp:effectExtent b="0" l="0" r="0" t="0"/>
            <wp:docPr descr="Figure 5-2 STA Sensing Entities Data Model" title="" id="37" name="Picture"/>
            <a:graphic>
              <a:graphicData uri="http://schemas.openxmlformats.org/drawingml/2006/picture">
                <pic:pic>
                  <pic:nvPicPr>
                    <pic:cNvPr descr="media/data_model.jpg" id="38" name="Picture"/>
                    <pic:cNvPicPr>
                      <a:picLocks noChangeArrowheads="1" noChangeAspect="1"/>
                    </pic:cNvPicPr>
                  </pic:nvPicPr>
                  <pic:blipFill>
                    <a:blip r:embed="rId36"/>
                    <a:stretch>
                      <a:fillRect/>
                    </a:stretch>
                  </pic:blipFill>
                  <pic:spPr bwMode="auto">
                    <a:xfrm>
                      <a:off x="0" y="0"/>
                      <a:ext cx="6108700" cy="4329587"/>
                    </a:xfrm>
                    <a:prstGeom prst="rect">
                      <a:avLst/>
                    </a:prstGeom>
                    <a:noFill/>
                    <a:ln w="9525">
                      <a:noFill/>
                      <a:headEnd/>
                      <a:tailEnd/>
                    </a:ln>
                  </pic:spPr>
                </pic:pic>
              </a:graphicData>
            </a:graphic>
          </wp:inline>
        </w:drawing>
      </w:r>
    </w:p>
    <w:p>
      <w:pPr>
        <w:pStyle w:val="ImageCaption"/>
      </w:pPr>
      <w:r>
        <w:t xml:space="preserve">Figure 5-2 STA Sensing Entities Data Model</w:t>
      </w:r>
    </w:p>
    <w:p>
      <w:pPr>
        <w:pStyle w:val="BodyText"/>
      </w:pPr>
      <w:r>
        <w:t xml:space="preserve">In the Sensing Entities Data Model events or sensor data are called</w:t>
      </w:r>
      <w:r>
        <w:t xml:space="preserve"> </w:t>
      </w:r>
      <w:r>
        <w:t xml:space="preserve">“observations”</w:t>
      </w:r>
      <w:r>
        <w:t xml:space="preserve">. Before a sensor is able to push an observation to the server it needs at least a</w:t>
      </w:r>
      <w:r>
        <w:t xml:space="preserve"> </w:t>
      </w:r>
      <w:r>
        <w:t xml:space="preserve">‘Thing’</w:t>
      </w:r>
      <w:r>
        <w:t xml:space="preserve"> </w:t>
      </w:r>
      <w:r>
        <w:t xml:space="preserve">and a</w:t>
      </w:r>
      <w:r>
        <w:t xml:space="preserve"> </w:t>
      </w:r>
      <w:r>
        <w:t xml:space="preserve">‘Datastream’</w:t>
      </w:r>
      <w:r>
        <w:t xml:space="preserve"> </w:t>
      </w:r>
      <w:r>
        <w:t xml:space="preserve">entity. This has to be created beforehand. One</w:t>
      </w:r>
      <w:r>
        <w:t xml:space="preserve"> </w:t>
      </w:r>
      <w:r>
        <w:t xml:space="preserve">‘Thing’</w:t>
      </w:r>
      <w:r>
        <w:t xml:space="preserve"> </w:t>
      </w:r>
      <w:r>
        <w:t xml:space="preserve">might have different</w:t>
      </w:r>
      <w:r>
        <w:t xml:space="preserve"> </w:t>
      </w:r>
      <w:r>
        <w:t xml:space="preserve">‘Sensors’</w:t>
      </w:r>
      <w:r>
        <w:t xml:space="preserve">, one</w:t>
      </w:r>
      <w:r>
        <w:t xml:space="preserve"> </w:t>
      </w:r>
      <w:r>
        <w:t xml:space="preserve">‘Location’</w:t>
      </w:r>
      <w:r>
        <w:t xml:space="preserve"> </w:t>
      </w:r>
      <w:r>
        <w:t xml:space="preserve">or many</w:t>
      </w:r>
      <w:r>
        <w:t xml:space="preserve"> </w:t>
      </w:r>
      <w:r>
        <w:t xml:space="preserve">‘HistoricalLocations’</w:t>
      </w:r>
      <w:r>
        <w:t xml:space="preserve">.</w:t>
      </w:r>
    </w:p>
    <w:p>
      <w:pPr>
        <w:pStyle w:val="BodyText"/>
      </w:pPr>
      <w:r>
        <w:t xml:space="preserve">The Sensing Entities data model and the purpose of data within the data model discloses mainly two data characteristics, associated with a</w:t>
      </w:r>
      <w:r>
        <w:t xml:space="preserve"> </w:t>
      </w:r>
      <w:r>
        <w:t xml:space="preserve">‘thing’</w:t>
      </w:r>
      <w:r>
        <w:t xml:space="preserve">:</w:t>
      </w:r>
      <w:r>
        <w:t xml:space="preserve"> </w:t>
      </w:r>
      <w:r>
        <w:t xml:space="preserve">- Data observations originated by sensors or commands sent to interact with actuators may be seen as IoT data from oneM2M point of view.</w:t>
      </w:r>
      <w:r>
        <w:t xml:space="preserve"> </w:t>
      </w:r>
      <w:r>
        <w:t xml:space="preserve">While:</w:t>
      </w:r>
      <w:r>
        <w:t xml:space="preserve"> </w:t>
      </w:r>
      <w:r>
        <w:t xml:space="preserve">- Data embedded in the Sensing Entities Data Model, like</w:t>
      </w:r>
      <w:r>
        <w:t xml:space="preserve"> </w:t>
      </w:r>
      <w:r>
        <w:t xml:space="preserve">“historic locations”</w:t>
      </w:r>
      <w:r>
        <w:t xml:space="preserve"> </w:t>
      </w:r>
      <w:r>
        <w:t xml:space="preserve">should be seen as data for documentation purposes.</w:t>
      </w:r>
    </w:p>
    <w:bookmarkEnd w:id="39"/>
    <w:bookmarkStart w:id="48" w:name="X5abb80ab801ecd6d30d47e6986a4a41afff489a"/>
    <w:p>
      <w:pPr>
        <w:pStyle w:val="Heading1"/>
      </w:pPr>
      <w:r>
        <w:t xml:space="preserve">6 Architecture Model of OGC/STA to oneM2M interworking</w:t>
      </w:r>
    </w:p>
    <w:bookmarkStart w:id="43" w:name="introduction"/>
    <w:p>
      <w:pPr>
        <w:pStyle w:val="Heading2"/>
      </w:pPr>
      <w:r>
        <w:t xml:space="preserve">6.0 Introduction</w:t>
      </w:r>
    </w:p>
    <w:p>
      <w:pPr>
        <w:pStyle w:val="FirstParagraph"/>
      </w:pPr>
      <w:r>
        <w:t xml:space="preserve">Figure 6.0-1 shows an architecture approach for an Interworking Proxy Entity (IPE) between oneM2M and the OGC SensorThings API. The IPE is located between a oneM2M CSE and an OGC/SensorThings API (STA)-Server.</w:t>
      </w:r>
    </w:p>
    <w:p>
      <w:pPr>
        <w:pStyle w:val="BodyText"/>
      </w:pPr>
      <w:r>
        <w:t xml:space="preserve">The basic interworking enables applications that are connected to an oneM2M-based system to get data from sensors that are connected to an OGC/STA server. Furthermore, an application that is connected to an OGC/STA server will be able to get data from sensors that are connected to an oneM2M-based system.</w:t>
      </w:r>
    </w:p>
    <w:p>
      <w:pPr>
        <w:pStyle w:val="CaptionedFigure"/>
      </w:pPr>
      <w:r>
        <w:drawing>
          <wp:inline>
            <wp:extent cx="6108700" cy="3270381"/>
            <wp:effectExtent b="0" l="0" r="0" t="0"/>
            <wp:docPr descr="Figure 6.0-1: IPE architecture overview" title="" id="41" name="Picture"/>
            <a:graphic>
              <a:graphicData uri="http://schemas.openxmlformats.org/drawingml/2006/picture">
                <pic:pic>
                  <pic:nvPicPr>
                    <pic:cNvPr descr="media/STA_oneM2M_architekturbild_01.png" id="42" name="Picture"/>
                    <pic:cNvPicPr>
                      <a:picLocks noChangeArrowheads="1" noChangeAspect="1"/>
                    </pic:cNvPicPr>
                  </pic:nvPicPr>
                  <pic:blipFill>
                    <a:blip r:embed="rId40"/>
                    <a:stretch>
                      <a:fillRect/>
                    </a:stretch>
                  </pic:blipFill>
                  <pic:spPr bwMode="auto">
                    <a:xfrm>
                      <a:off x="0" y="0"/>
                      <a:ext cx="6108700" cy="3270381"/>
                    </a:xfrm>
                    <a:prstGeom prst="rect">
                      <a:avLst/>
                    </a:prstGeom>
                    <a:noFill/>
                    <a:ln w="9525">
                      <a:noFill/>
                      <a:headEnd/>
                      <a:tailEnd/>
                    </a:ln>
                  </pic:spPr>
                </pic:pic>
              </a:graphicData>
            </a:graphic>
          </wp:inline>
        </w:drawing>
      </w:r>
    </w:p>
    <w:p>
      <w:pPr>
        <w:pStyle w:val="ImageCaption"/>
      </w:pPr>
      <w:r>
        <w:t xml:space="preserve">Figure 6.0-1: IPE architecture overview</w:t>
      </w:r>
    </w:p>
    <w:bookmarkEnd w:id="43"/>
    <w:bookmarkStart w:id="47" w:name="ogcsta-to-onem2m-data-model-mapping"/>
    <w:p>
      <w:pPr>
        <w:pStyle w:val="Heading2"/>
      </w:pPr>
      <w:r>
        <w:t xml:space="preserve">6.1 OGC/STA-to-oneM2M Data Model Mapping</w:t>
      </w:r>
    </w:p>
    <w:p>
      <w:pPr>
        <w:pStyle w:val="FirstParagraph"/>
      </w:pPr>
      <w:r>
        <w:t xml:space="preserve">According to oneM2M TS-0033</w:t>
      </w:r>
      <w:r>
        <w:t xml:space="preserve"> </w:t>
      </w:r>
      <w:r>
        <w:t xml:space="preserve">[2]</w:t>
      </w:r>
      <w:r>
        <w:t xml:space="preserve"> </w:t>
      </w:r>
      <w:r>
        <w:t xml:space="preserve">a representation of a non-oneM2M Proximal IoT function/device in a oneM2M-specified resource instance is to be synchronized with the entity that it represents. Thus the OGC/STA data model has to be represented in the hosting CSE. The SensorThings data model is comprehensive and should be regarded as a n:m relational database structure, holding both:</w:t>
      </w:r>
      <w:r>
        <w:t xml:space="preserve"> </w:t>
      </w:r>
      <w:r>
        <w:t xml:space="preserve">- sensor (IoT-data); and</w:t>
      </w:r>
      <w:r>
        <w:t xml:space="preserve"> </w:t>
      </w:r>
      <w:r>
        <w:t xml:space="preserve">- administrative data (like historic locations or historic products IDs).</w:t>
      </w:r>
    </w:p>
    <w:p>
      <w:pPr>
        <w:pStyle w:val="BodyText"/>
      </w:pPr>
      <w:r>
        <w:t xml:space="preserve">The IPE shall map the</w:t>
      </w:r>
      <w:r>
        <w:t xml:space="preserve"> </w:t>
      </w:r>
      <w:r>
        <w:t xml:space="preserve">‘result’</w:t>
      </w:r>
      <w:r>
        <w:t xml:space="preserve"> </w:t>
      </w:r>
      <w:r>
        <w:t xml:space="preserve">attribute of an OGC/STA</w:t>
      </w:r>
      <w:r>
        <w:t xml:space="preserve"> </w:t>
      </w:r>
      <w:r>
        <w:t xml:space="preserve">‘Observation’</w:t>
      </w:r>
      <w:r>
        <w:t xml:space="preserve"> </w:t>
      </w:r>
      <w:r>
        <w:t xml:space="preserve">to the</w:t>
      </w:r>
      <w:r>
        <w:t xml:space="preserve"> </w:t>
      </w:r>
      <w:r>
        <w:t xml:space="preserve">‘content’</w:t>
      </w:r>
      <w:r>
        <w:t xml:space="preserve"> </w:t>
      </w:r>
      <w:r>
        <w:t xml:space="preserve">attribute of a oneM2M &lt;contentInstance&gt;, and vice versa as shown in Figure 6.1-1.</w:t>
      </w:r>
    </w:p>
    <w:p>
      <w:pPr>
        <w:pStyle w:val="CaptionedFigure"/>
      </w:pPr>
      <w:r>
        <w:drawing>
          <wp:inline>
            <wp:extent cx="6108700" cy="4377805"/>
            <wp:effectExtent b="0" l="0" r="0" t="0"/>
            <wp:docPr descr="Figure 6.1-1: OGC / STA-to-oneM2M data model mapping" title="" id="45" name="Picture"/>
            <a:graphic>
              <a:graphicData uri="http://schemas.openxmlformats.org/drawingml/2006/picture">
                <pic:pic>
                  <pic:nvPicPr>
                    <pic:cNvPr descr="media/data_mapping.png" id="46" name="Picture"/>
                    <pic:cNvPicPr>
                      <a:picLocks noChangeArrowheads="1" noChangeAspect="1"/>
                    </pic:cNvPicPr>
                  </pic:nvPicPr>
                  <pic:blipFill>
                    <a:blip r:embed="rId44"/>
                    <a:stretch>
                      <a:fillRect/>
                    </a:stretch>
                  </pic:blipFill>
                  <pic:spPr bwMode="auto">
                    <a:xfrm>
                      <a:off x="0" y="0"/>
                      <a:ext cx="6108700" cy="4377805"/>
                    </a:xfrm>
                    <a:prstGeom prst="rect">
                      <a:avLst/>
                    </a:prstGeom>
                    <a:noFill/>
                    <a:ln w="9525">
                      <a:noFill/>
                      <a:headEnd/>
                      <a:tailEnd/>
                    </a:ln>
                  </pic:spPr>
                </pic:pic>
              </a:graphicData>
            </a:graphic>
          </wp:inline>
        </w:drawing>
      </w:r>
    </w:p>
    <w:p>
      <w:pPr>
        <w:pStyle w:val="ImageCaption"/>
      </w:pPr>
      <w:r>
        <w:t xml:space="preserve">Figure 6.1-1: OGC / STA-to-oneM2M data model mapping</w:t>
      </w:r>
    </w:p>
    <w:p>
      <w:pPr>
        <w:pStyle w:val="BodyText"/>
      </w:pPr>
      <w:r>
        <w:t xml:space="preserve">The following text is to be used when appropriate:</w:t>
      </w:r>
    </w:p>
    <w:bookmarkEnd w:id="47"/>
    <w:bookmarkEnd w:id="48"/>
    <w:bookmarkStart w:id="50" w:name="proforma-copyright-release-text-block"/>
    <w:p>
      <w:pPr>
        <w:pStyle w:val="Heading1"/>
      </w:pPr>
      <w:r>
        <w:t xml:space="preserve">Proforma copyright release text block</w:t>
      </w:r>
    </w:p>
    <w:p>
      <w:pPr>
        <w:pStyle w:val="FirstParagraph"/>
      </w:pPr>
      <w:r>
        <w:t xml:space="preserve">This text box shall immediately follow after the heading of an element (i.e. clause or annex) containing a proforma or template which is intended to be copied by the user. Such an element shall always start on a new page.</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Notwithstanding the provisions of the copyright clause related to the text of the present document, oneM2M grants that users of the present document may freely reproduce the &lt;proformatype&gt; proforma in this {clause|annex} so that it can be used for its intended purposes and may further publish the completed &lt;proformatype&gt;.</w:t>
            </w:r>
          </w:p>
        </w:tc>
      </w:tr>
    </w:tbl>
    <w:p>
      <w:pPr>
        <w:pStyle w:val="BodyText"/>
      </w:pPr>
      <w:r>
        <w:t xml:space="preserve">&lt;PAGE BREAK&gt;</w:t>
      </w:r>
    </w:p>
    <w:bookmarkStart w:id="49" w:name="annexes"/>
    <w:p>
      <w:pPr>
        <w:pStyle w:val="Heading2"/>
      </w:pPr>
      <w:r>
        <w:t xml:space="preserve">Annexes</w:t>
      </w:r>
    </w:p>
    <w:p>
      <w:pPr>
        <w:pStyle w:val="FirstParagraph"/>
      </w:pPr>
      <w:r>
        <w:t xml:space="preserve">Each annex shall start on a new page (insert a page break between annexes A and B, annexes B and C, etc.).</w:t>
      </w:r>
    </w:p>
    <w:p>
      <w:pPr>
        <w:pStyle w:val="BodyText"/>
      </w:pPr>
      <w:r>
        <w:t xml:space="preserve">Use the Heading 9 style for the title and the Normal style for the text.</w:t>
      </w:r>
    </w:p>
    <w:bookmarkEnd w:id="49"/>
    <w:bookmarkEnd w:id="50"/>
    <w:bookmarkStart w:id="51" w:name="X0ae8f8eb540616f6984bcfd8e54052ffa35f821"/>
    <w:p>
      <w:pPr>
        <w:pStyle w:val="Heading1"/>
      </w:pPr>
      <w:r>
        <w:t xml:space="preserve">Annex &lt;A&gt; (Informative/Normative):</w:t>
      </w:r>
      <w:r>
        <w:t xml:space="preserve">Remove Informative or Normative as appropriat</w:t>
      </w:r>
      <w:r>
        <w:t xml:space="preserve"> </w:t>
      </w:r>
      <w:r>
        <w:t xml:space="preserve">Title of annex</w:t>
      </w:r>
      <w:r>
        <w:t xml:space="preserve"> </w:t>
      </w:r>
      <w:r>
        <w:t xml:space="preserve">(style H9)</w:t>
      </w:r>
    </w:p>
    <w:p>
      <w:pPr>
        <w:pStyle w:val="FirstParagraph"/>
      </w:pPr>
      <w:r>
        <w:t xml:space="preserve">&lt;Text&gt;</w:t>
      </w:r>
      <w:r>
        <w:br/>
      </w:r>
      <w:r>
        <w:t xml:space="preserve">&lt;PAGE BREAK&gt;</w:t>
      </w:r>
    </w:p>
    <w:bookmarkEnd w:id="51"/>
    <w:bookmarkStart w:id="54" w:name="X7535cc335873dd21bda77eddf0fdcea968e078f"/>
    <w:p>
      <w:pPr>
        <w:pStyle w:val="Heading1"/>
      </w:pPr>
      <w:r>
        <w:t xml:space="preserve">Annex &lt;B&gt; (Informative/Normative):</w:t>
      </w:r>
      <w:r>
        <w:t xml:space="preserve">Remove Informative or Normative as appropriat</w:t>
      </w:r>
      <w:r>
        <w:t xml:space="preserve"> </w:t>
      </w:r>
      <w:r>
        <w:t xml:space="preserve">Title of annex</w:t>
      </w:r>
      <w:r>
        <w:t xml:space="preserve"> </w:t>
      </w:r>
      <w:r>
        <w:t xml:space="preserve">(style H9)</w:t>
      </w:r>
    </w:p>
    <w:p>
      <w:pPr>
        <w:pStyle w:val="FirstParagraph"/>
      </w:pPr>
      <w:r>
        <w:t xml:space="preserve">&lt;Text&gt;</w:t>
      </w:r>
    </w:p>
    <w:bookmarkStart w:id="53" w:name="b.1-first-clause-of-the-annex-style-h1"/>
    <w:p>
      <w:pPr>
        <w:pStyle w:val="Heading2"/>
      </w:pPr>
      <w:r>
        <w:t xml:space="preserve">B.1 First clause of the annex</w:t>
      </w:r>
      <w:r>
        <w:t xml:space="preserve"> </w:t>
      </w:r>
      <w:r>
        <w:t xml:space="preserve">(style H1)</w:t>
      </w:r>
    </w:p>
    <w:p>
      <w:pPr>
        <w:pStyle w:val="FirstParagraph"/>
      </w:pPr>
      <w:r>
        <w:t xml:space="preserve">&lt;Text&gt;</w:t>
      </w:r>
    </w:p>
    <w:bookmarkStart w:id="52" w:name="X62f9520d274b190c5aedb11b0ca14162c523fe0"/>
    <w:p>
      <w:pPr>
        <w:pStyle w:val="Heading3"/>
      </w:pPr>
      <w:r>
        <w:t xml:space="preserve">B.1.1 First subdivided clause of the annex</w:t>
      </w:r>
      <w:r>
        <w:t xml:space="preserve"> </w:t>
      </w:r>
      <w:r>
        <w:t xml:space="preserve">(style H2)</w:t>
      </w:r>
    </w:p>
    <w:p>
      <w:pPr>
        <w:pStyle w:val="FirstParagraph"/>
      </w:pPr>
      <w:r>
        <w:t xml:space="preserve">&lt;Text&gt;</w:t>
      </w:r>
    </w:p>
    <w:p>
      <w:pPr>
        <w:pStyle w:val="BodyText"/>
      </w:pPr>
      <w:r>
        <w:t xml:space="preserve">&lt;PAGE BREAK&gt;</w:t>
      </w:r>
    </w:p>
    <w:p>
      <w:pPr>
        <w:pStyle w:val="BodyText"/>
      </w:pPr>
      <w:r>
        <w:t xml:space="preserve">The following text is to be used when appropriate:</w:t>
      </w:r>
    </w:p>
    <w:bookmarkEnd w:id="52"/>
    <w:bookmarkEnd w:id="53"/>
    <w:bookmarkEnd w:id="54"/>
    <w:bookmarkStart w:id="55" w:name="annex-y"/>
    <w:p>
      <w:pPr>
        <w:pStyle w:val="Heading1"/>
      </w:pPr>
      <w:r>
        <w:t xml:space="preserve">Annex &lt;y&gt;:</w:t>
      </w:r>
      <w:r>
        <w:br/>
      </w:r>
    </w:p>
    <w:p>
      <w:pPr>
        <w:pStyle w:val="FirstParagraph"/>
      </w:pPr>
      <w:r>
        <w:t xml:space="preserve">Bibliography</w:t>
      </w:r>
      <w:r>
        <w:t xml:space="preserve"> </w:t>
      </w:r>
      <w:r>
        <w:t xml:space="preserve">The annex entitled</w:t>
      </w:r>
      <w:r>
        <w:t xml:space="preserve"> </w:t>
      </w:r>
      <w:r>
        <w:t xml:space="preserve">“Bibliography”</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pStyle w:val="BodyText"/>
      </w:pPr>
      <w:r>
        <w:t xml:space="preserve">Use the Heading 9 style for the title and B1+ or Normal for the text.</w:t>
      </w:r>
    </w:p>
    <w:p>
      <w:pPr>
        <w:pStyle w:val="Compact"/>
        <w:numPr>
          <w:ilvl w:val="0"/>
          <w:numId w:val="1004"/>
        </w:numPr>
      </w:pPr>
      <w:r>
        <w:t xml:space="preserve">&lt;Publication&gt;:</w:t>
      </w:r>
      <w:r>
        <w:t xml:space="preserve"> </w:t>
      </w:r>
      <w:r>
        <w:t xml:space="preserve">“&lt;Title&gt;”</w:t>
      </w:r>
      <w:r>
        <w:t xml:space="preserve">.</w:t>
      </w:r>
    </w:p>
    <w:p>
      <w:pPr>
        <w:pStyle w:val="FirstParagraph"/>
      </w:pPr>
      <w:r>
        <w:t xml:space="preserve">OR</w:t>
      </w:r>
    </w:p>
    <w:p>
      <w:pPr>
        <w:pStyle w:val="BodyText"/>
      </w:pPr>
      <w:r>
        <w:t xml:space="preserve">&lt;Publication&gt;:</w:t>
      </w:r>
      <w:r>
        <w:t xml:space="preserve"> </w:t>
      </w:r>
      <w:r>
        <w:t xml:space="preserve">“&lt;Title&gt;”</w:t>
      </w:r>
      <w:r>
        <w:t xml:space="preserve">.</w:t>
      </w:r>
    </w:p>
    <w:p>
      <w:pPr>
        <w:pStyle w:val="BodyText"/>
      </w:pPr>
      <w:r>
        <w:t xml:space="preserve">&lt;PAGE BREAK&gt;</w:t>
      </w:r>
    </w:p>
    <w:bookmarkEnd w:id="55"/>
    <w:bookmarkStart w:id="56"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r>
              <w:t xml:space="preserve">V1.x.x</w:t>
            </w:r>
          </w:p>
        </w:tc>
        <w:tc>
          <w:tcPr/>
          <w:p>
            <w:pPr>
              <w:pStyle w:val="Compact"/>
            </w:pPr>
            <w:r>
              <w:t xml:space="preserve">&lt;yyyy-mm-dd &gt;</w:t>
            </w:r>
          </w:p>
        </w:tc>
        <w:tc>
          <w:tcPr/>
          <w:p>
            <w:pPr>
              <w:pStyle w:val="Compac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 (to be removed on publication)</w:t>
            </w:r>
          </w:p>
        </w:tc>
        <w:tc>
          <w:tcPr/>
          <w:p>
            <w:pPr>
              <w:pStyle w:val="Compact"/>
            </w:pPr>
            <w:r>
              <w:t xml:space="preserve">Date (to be removed on publication)</w:t>
            </w:r>
          </w:p>
        </w:tc>
        <w:tc>
          <w:tcPr/>
          <w:p>
            <w:pPr>
              <w:pStyle w:val="Compact"/>
            </w:pPr>
            <w:r>
              <w:t xml:space="preserve">Draft history (to be removed on publication)</w:t>
            </w:r>
          </w:p>
        </w:tc>
      </w:tr>
      <w:tr>
        <w:tc>
          <w:tcPr/>
          <w:p>
            <w:pPr>
              <w:pStyle w:val="Compact"/>
            </w:pPr>
            <w:r>
              <w:t xml:space="preserve">V5.0.0</w:t>
            </w:r>
          </w:p>
        </w:tc>
        <w:tc>
          <w:tcPr/>
          <w:p>
            <w:pPr>
              <w:pStyle w:val="Compact"/>
            </w:pPr>
            <w:r>
              <w:t xml:space="preserve">2024-03-01</w:t>
            </w:r>
          </w:p>
        </w:tc>
        <w:tc>
          <w:tcPr/>
          <w:p>
            <w:pPr>
              <w:pStyle w:val="Compact"/>
            </w:pPr>
            <w:r>
              <w:t xml:space="preserve">Includes the following contributions agreed during SDS#58 meeting: SDS-2023-0219R01-initial_OGC_intro</w:t>
            </w:r>
          </w:p>
        </w:tc>
      </w:tr>
      <w:tr>
        <w:tc>
          <w:tcPr/>
          <w:p>
            <w:pPr>
              <w:pStyle w:val="Compact"/>
            </w:pPr>
            <w:r>
              <w:t xml:space="preserve">V5.1.0</w:t>
            </w:r>
          </w:p>
        </w:tc>
        <w:tc>
          <w:tcPr/>
          <w:p>
            <w:pPr>
              <w:pStyle w:val="Compact"/>
            </w:pPr>
            <w:r>
              <w:t xml:space="preserve">2024-09-13</w:t>
            </w:r>
          </w:p>
        </w:tc>
        <w:tc>
          <w:tcPr/>
          <w:p>
            <w:pPr>
              <w:pStyle w:val="Compact"/>
            </w:pPr>
            <w:r>
              <w:t xml:space="preserve">Includes the following contributions agreed during SDS#66 meeting: SDS-2024-0064R02_architecture_model and editorials agreed during SDS66</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56"/>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3" Target="media/rId33.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36" Target="media/rId36.jp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2024-12-04T05:53:56Z</dcterms:created>
  <dcterms:modified xsi:type="dcterms:W3CDTF">2024-12-04T05:53:56Z</dcterms:modified>
</cp:coreProperties>
</file>

<file path=docProps/custom.xml><?xml version="1.0" encoding="utf-8"?>
<Properties xmlns="http://schemas.openxmlformats.org/officeDocument/2006/custom-properties" xmlns:vt="http://schemas.openxmlformats.org/officeDocument/2006/docPropsVTypes"/>
</file>