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rId33.png" ContentType="image/png"/>
  <Override PartName="/word/media/rId40.png" ContentType="image/png"/>
  <Override PartName="/word/media/rId48.png" ContentType="image/png"/>
  <Override PartName="/word/media/rId51.png" ContentType="image/png"/>
  <Override PartName="/word/media/rId55.png" ContentType="image/png"/>
  <Override PartName="/word/media/rId79.png" ContentType="image/png"/>
  <Override PartName="/word/media/rId83.png" ContentType="image/png"/>
  <Override PartName="/word/media/rId60.png" ContentType="image/png"/>
  <Override PartName="/word/media/rId64.png" ContentType="image/png"/>
  <Override PartName="/word/media/rId69.png" ContentType="image/png"/>
  <Override PartName="/word/media/rId73.png" ContentType="image/png"/>
  <Override PartName="/word/media/rId76.png" ContentType="image/png"/>
  <Override PartName="/word/media/rId44.png" ContentType="image/png"/>
  <Override PartName="/word/media/rId36.jpg" ContentType="image/jpeg"/>
  <Override PartName="/word/media/rId20.png" ContentType="image/png"/>
  <Override PartName="/word/media/image1.png" ContentType="image/png"/>
  <Override PartName="/word/media/image2.png" ContentType="image/png"/>
  <Override PartName="/word/media/image4.png" ContentType="image/png"/>
  <Override PartName="/word/media/image3.png" ContentType="image/png"/>
  <Override PartName="/word/media/image5.png" ContentType="image/png"/>
  <Override PartName="/word/media/image6.emf" ContentType="image/x-emf"/>
  <Override PartName="/word/media/image7.png" ContentType="image/png"/>
  <Override PartName="/word/media/image8.emf" ContentType="image/x-emf"/>
  <Override PartName="/word/media/image10.emf" ContentType="image/x-emf"/>
  <Override PartName="/word/media/image9.emf" ContentType="image/x-e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drawing>
          <wp:inline>
            <wp:extent cx="4876800" cy="3327400"/>
            <wp:effectExtent b="0" l="0" r="0" t="0"/>
            <wp:docPr descr="" title="" id="21" name="Picture"/>
            <a:graphic>
              <a:graphicData uri="http://schemas.openxmlformats.org/drawingml/2006/picture">
                <pic:pic>
                  <pic:nvPicPr>
                    <pic:cNvPr descr="./media/image1.png" id="22" name="Picture"/>
                    <pic:cNvPicPr>
                      <a:picLocks noChangeArrowheads="1" noChangeAspect="1"/>
                    </pic:cNvPicPr>
                  </pic:nvPicPr>
                  <pic:blipFill>
                    <a:blip r:embed="rId20"/>
                    <a:stretch>
                      <a:fillRect/>
                    </a:stretch>
                  </pic:blipFill>
                  <pic:spPr bwMode="auto">
                    <a:xfrm>
                      <a:off x="0" y="0"/>
                      <a:ext cx="4876800" cy="3327400"/>
                    </a:xfrm>
                    <a:prstGeom prst="rect">
                      <a:avLst/>
                    </a:prstGeom>
                    <a:noFill/>
                    <a:ln w="9525">
                      <a:noFill/>
                      <a:headEnd/>
                      <a:tailEnd/>
                    </a:ln>
                  </pic:spPr>
                </pic:pic>
              </a:graphicData>
            </a:graphic>
          </wp:inline>
        </w:drawing>
      </w:r>
    </w:p>
    <w:tbl>
      <w:tblPr>
        <w:tblStyle w:val="Table"/>
        <w:tblW w:type="pct" w:w="5000"/>
        <w:tblLayout w:type="fixed"/>
        <w:tblLook w:firstRow="1" w:lastRow="0" w:firstColumn="0" w:lastColumn="0" w:noHBand="0" w:noVBand="0" w:val="0020"/>
      </w:tblPr>
      <w:tblGrid>
        <w:gridCol w:w="1242"/>
        <w:gridCol w:w="6677"/>
      </w:tblGrid>
      <w:tr>
        <w:trPr>
          <w:tblHeader w:val="on"/>
        </w:trPr>
        <w:tc>
          <w:tcPr>
            <w:gridSpan w:val="2"/>
          </w:tcPr>
          <w:p>
            <w:pPr>
              <w:pStyle w:val="Compact"/>
              <w:jc w:val="left"/>
            </w:pPr>
            <w:r>
              <w:t xml:space="preserve">oneM2M</w:t>
            </w:r>
            <w:r>
              <w:br/>
            </w:r>
            <w:r>
              <w:t xml:space="preserve">Technical Specification</w:t>
            </w:r>
          </w:p>
        </w:tc>
      </w:tr>
      <w:tr>
        <w:tc>
          <w:tcPr/>
          <w:p>
            <w:pPr>
              <w:pStyle w:val="Compact"/>
              <w:jc w:val="left"/>
            </w:pPr>
            <w:r>
              <w:t xml:space="preserve">Document Number</w:t>
            </w:r>
          </w:p>
        </w:tc>
        <w:tc>
          <w:tcPr/>
          <w:p>
            <w:pPr>
              <w:pStyle w:val="Compact"/>
              <w:jc w:val="left"/>
            </w:pPr>
            <w:r>
              <w:t xml:space="preserve">TS-0041-V-5.4.1</w:t>
            </w:r>
          </w:p>
        </w:tc>
      </w:tr>
      <w:tr>
        <w:tc>
          <w:tcPr/>
          <w:p>
            <w:pPr>
              <w:pStyle w:val="Compact"/>
              <w:jc w:val="left"/>
            </w:pPr>
            <w:r>
              <w:t xml:space="preserve">Document Name:</w:t>
            </w:r>
          </w:p>
        </w:tc>
        <w:tc>
          <w:tcPr/>
          <w:p>
            <w:pPr>
              <w:pStyle w:val="Compact"/>
              <w:jc w:val="left"/>
            </w:pPr>
            <w:r>
              <w:t xml:space="preserve">SensorThings Interworking</w:t>
            </w:r>
          </w:p>
        </w:tc>
      </w:tr>
      <w:tr>
        <w:tc>
          <w:tcPr/>
          <w:p>
            <w:pPr>
              <w:pStyle w:val="Compact"/>
              <w:jc w:val="left"/>
            </w:pPr>
            <w:r>
              <w:t xml:space="preserve">Date:</w:t>
            </w:r>
          </w:p>
        </w:tc>
        <w:tc>
          <w:tcPr/>
          <w:p>
            <w:pPr>
              <w:pStyle w:val="Compact"/>
              <w:jc w:val="left"/>
            </w:pPr>
            <w:r>
              <w:t xml:space="preserve">2025-10-27</w:t>
            </w:r>
          </w:p>
        </w:tc>
      </w:tr>
      <w:tr>
        <w:tc>
          <w:tcPr/>
          <w:p>
            <w:pPr>
              <w:pStyle w:val="Compact"/>
              <w:jc w:val="left"/>
            </w:pPr>
            <w:r>
              <w:t xml:space="preserve">Abstract:</w:t>
            </w:r>
          </w:p>
        </w:tc>
        <w:tc>
          <w:tcPr/>
          <w:p>
            <w:pPr>
              <w:pStyle w:val="Compact"/>
              <w:jc w:val="left"/>
            </w:pPr>
            <w:r>
              <w:t xml:space="preserve">oneM2M TS-0041 provides the interworking specification between the oneM2M service</w:t>
            </w:r>
            <w:r>
              <w:br/>
            </w:r>
            <w:r>
              <w:t xml:space="preserve">layer and the OGC SensorThings API to enable seamless integration of IoT data</w:t>
            </w:r>
            <w:r>
              <w:br/>
            </w:r>
            <w:r>
              <w:t xml:space="preserve">and services, particularly in smart city environments.</w:t>
            </w:r>
          </w:p>
        </w:tc>
      </w:tr>
      <w:tr>
        <w:tc>
          <w:tcPr>
            <w:gridSpan w:val="2"/>
          </w:tcPr>
          <w:p>
            <w:pPr>
              <w:pStyle w:val="Compact"/>
              <w:jc w:val="left"/>
            </w:pPr>
            <w:r>
              <w:t xml:space="preserve">Template Version: January 2020 (Do not modify)</w:t>
            </w:r>
          </w:p>
        </w:tc>
      </w:tr>
    </w:tbl>
    <w:p>
      <w:pPr>
        <w:pStyle w:val="BodyText"/>
      </w:pPr>
      <w:r>
        <w:t xml:space="preserve">The present document is provided for future development work within oneM2M only. The Partners accept no liability for any use of the present document.</w:t>
      </w:r>
    </w:p>
    <w:p>
      <w:pPr>
        <w:pStyle w:val="BodyText"/>
      </w:pPr>
      <w:r>
        <w:t xml:space="preserve">The present document has not been subject to any approval process by the oneM2M Partners Type 1. Published oneM2M specifications and reports for implementation should be obtained via the oneM2M Partners’ Publications Offices.</w:t>
      </w:r>
    </w:p>
    <w:p>
      <w:pPr>
        <w:pStyle w:val="BodyText"/>
      </w:pPr>
      <w:r>
        <w:br/>
      </w:r>
      <w:r>
        <w:t xml:space="preserve">About oneM2M</w:t>
      </w:r>
    </w:p>
    <w:p>
      <w:pPr>
        <w:pStyle w:val="BodyText"/>
      </w:pPr>
      <w: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w:t>
      </w:r>
    </w:p>
    <w:p>
      <w:pPr>
        <w:pStyle w:val="BodyText"/>
      </w:pPr>
      <w:r>
        <w:t xml:space="preserve">More information about oneM2M may be found at: http//www.oneM2M.org</w:t>
      </w:r>
    </w:p>
    <w:p>
      <w:pPr>
        <w:pStyle w:val="BodyText"/>
      </w:pPr>
      <w:r>
        <w:t xml:space="preserve">Copyright Notification</w:t>
      </w:r>
    </w:p>
    <w:p>
      <w:pPr>
        <w:pStyle w:val="Compact"/>
        <w:numPr>
          <w:ilvl w:val="0"/>
          <w:numId w:val="1001"/>
        </w:numPr>
      </w:pPr>
      <w:r>
        <w:t xml:space="preserve">2025, oneM2M Partners Type 1.</w:t>
      </w:r>
    </w:p>
    <w:p>
      <w:pPr>
        <w:pStyle w:val="FirstParagraph"/>
      </w:pPr>
      <w:r>
        <w:t xml:space="preserve">All rights reserved.</w:t>
      </w:r>
    </w:p>
    <w:p>
      <w:pPr>
        <w:pStyle w:val="BodyText"/>
      </w:pPr>
      <w:r>
        <w:t xml:space="preserve">The copyright extends to reproduction in all media.</w:t>
      </w:r>
    </w:p>
    <w:p>
      <w:pPr>
        <w:pStyle w:val="BodyText"/>
      </w:pPr>
      <w:r>
        <w:t xml:space="preserve">Notice of Disclaimer &amp; Limitation of Liability</w:t>
      </w:r>
    </w:p>
    <w:p>
      <w:pPr>
        <w:pStyle w:val="BodyText"/>
      </w:pPr>
      <w: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w:t>
      </w:r>
    </w:p>
    <w:p>
      <w:pPr>
        <w:pStyle w:val="BodyText"/>
      </w:pPr>
      <w:r>
        <w:t xml:space="preserve">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bookmarkStart w:id="23" w:name="contents"/>
    <w:p>
      <w:pPr>
        <w:pStyle w:val="Heading1"/>
      </w:pPr>
      <w:r>
        <w:t xml:space="preserve">Contents</w:t>
      </w:r>
    </w:p>
    <w:p>
      <w:pPr>
        <w:pStyle w:val="FirstParagraph"/>
      </w:pPr>
      <w:hyperlink w:anchor="scope">
        <w:r>
          <w:rPr>
            <w:rStyle w:val="Hyperlink"/>
          </w:rPr>
          <w:t xml:space="preserve">1 Scope</w:t>
        </w:r>
      </w:hyperlink>
      <w:r>
        <w:br/>
      </w:r>
      <w:hyperlink w:anchor="references">
        <w:r>
          <w:rPr>
            <w:rStyle w:val="Hyperlink"/>
          </w:rPr>
          <w:t xml:space="preserve">2 References</w:t>
        </w:r>
      </w:hyperlink>
      <w:r>
        <w:br/>
      </w:r>
      <w:r>
        <w:t xml:space="preserve">    </w:t>
      </w:r>
      <w:hyperlink w:anchor="normative-references">
        <w:r>
          <w:rPr>
            <w:rStyle w:val="Hyperlink"/>
          </w:rPr>
          <w:t xml:space="preserve">2.1 Normative references</w:t>
        </w:r>
      </w:hyperlink>
      <w:r>
        <w:br/>
      </w:r>
      <w:r>
        <w:t xml:space="preserve">    </w:t>
      </w:r>
      <w:hyperlink w:anchor="informative-references">
        <w:r>
          <w:rPr>
            <w:rStyle w:val="Hyperlink"/>
          </w:rPr>
          <w:t xml:space="preserve">2.2 Informative references</w:t>
        </w:r>
      </w:hyperlink>
      <w:r>
        <w:br/>
      </w:r>
      <w:hyperlink w:anchor="Xe254da9c2f303321d6c9a4dcbd53386c9eebb59">
        <w:r>
          <w:rPr>
            <w:rStyle w:val="Hyperlink"/>
          </w:rPr>
          <w:t xml:space="preserve">3 Definition of terms, symbols and abbreviations</w:t>
        </w:r>
      </w:hyperlink>
      <w:r>
        <w:br/>
      </w:r>
      <w:r>
        <w:t xml:space="preserve">    </w:t>
      </w:r>
      <w:hyperlink w:anchor="terms">
        <w:r>
          <w:rPr>
            <w:rStyle w:val="Hyperlink"/>
          </w:rPr>
          <w:t xml:space="preserve">3.1 Terms</w:t>
        </w:r>
      </w:hyperlink>
      <w:r>
        <w:br/>
      </w:r>
      <w:r>
        <w:t xml:space="preserve">    </w:t>
      </w:r>
      <w:hyperlink w:anchor="symbols">
        <w:r>
          <w:rPr>
            <w:rStyle w:val="Hyperlink"/>
          </w:rPr>
          <w:t xml:space="preserve">3.2 Symbols</w:t>
        </w:r>
      </w:hyperlink>
      <w:r>
        <w:br/>
      </w:r>
      <w:r>
        <w:t xml:space="preserve">    </w:t>
      </w:r>
      <w:hyperlink w:anchor="abbreviations">
        <w:r>
          <w:rPr>
            <w:rStyle w:val="Hyperlink"/>
          </w:rPr>
          <w:t xml:space="preserve">3.3 Abbreviations</w:t>
        </w:r>
      </w:hyperlink>
      <w:r>
        <w:br/>
      </w:r>
      <w:hyperlink w:anchor="conventions">
        <w:r>
          <w:rPr>
            <w:rStyle w:val="Hyperlink"/>
          </w:rPr>
          <w:t xml:space="preserve">4 Conventions</w:t>
        </w:r>
      </w:hyperlink>
      <w:r>
        <w:br/>
      </w:r>
      <w:hyperlink w:anchor="introduction-to-ogc-sensorthings-api">
        <w:r>
          <w:rPr>
            <w:rStyle w:val="Hyperlink"/>
          </w:rPr>
          <w:t xml:space="preserve">5 Introduction to OGC SensorThings API</w:t>
        </w:r>
      </w:hyperlink>
      <w:r>
        <w:br/>
      </w:r>
      <w:hyperlink w:anchor="X5abb80ab801ecd6d30d47e6986a4a41afff489a">
        <w:r>
          <w:rPr>
            <w:rStyle w:val="Hyperlink"/>
          </w:rPr>
          <w:t xml:space="preserve">6 Architecture model of OGC/STA to oneM2M interworking</w:t>
        </w:r>
      </w:hyperlink>
      <w:r>
        <w:br/>
      </w:r>
      <w:r>
        <w:t xml:space="preserve">    </w:t>
      </w:r>
      <w:hyperlink w:anchor="overview">
        <w:r>
          <w:rPr>
            <w:rStyle w:val="Hyperlink"/>
          </w:rPr>
          <w:t xml:space="preserve">6.0 Overview</w:t>
        </w:r>
      </w:hyperlink>
      <w:r>
        <w:br/>
      </w:r>
      <w:r>
        <w:t xml:space="preserve">    </w:t>
      </w:r>
      <w:hyperlink w:anchor="ogcsta-to-onem2m-data-model-mapping">
        <w:r>
          <w:rPr>
            <w:rStyle w:val="Hyperlink"/>
          </w:rPr>
          <w:t xml:space="preserve">6.1 OGC/STA-to-oneM2M data model mapping</w:t>
        </w:r>
      </w:hyperlink>
      <w:r>
        <w:br/>
      </w:r>
      <w:r>
        <w:t xml:space="preserve">    </w:t>
      </w:r>
      <w:hyperlink w:anchor="communication-flow">
        <w:r>
          <w:rPr>
            <w:rStyle w:val="Hyperlink"/>
          </w:rPr>
          <w:t xml:space="preserve">6.2 Communication flow</w:t>
        </w:r>
      </w:hyperlink>
      <w:r>
        <w:br/>
      </w:r>
      <w:r>
        <w:t xml:space="preserve">    </w:t>
      </w:r>
      <w:hyperlink w:anchor="configuration-aspects">
        <w:r>
          <w:rPr>
            <w:rStyle w:val="Hyperlink"/>
          </w:rPr>
          <w:t xml:space="preserve">6.3 Configuration aspects</w:t>
        </w:r>
      </w:hyperlink>
      <w:r>
        <w:br/>
      </w:r>
      <w:r>
        <w:t xml:space="preserve">        </w:t>
      </w:r>
      <w:hyperlink w:anchor="introduction">
        <w:r>
          <w:rPr>
            <w:rStyle w:val="Hyperlink"/>
          </w:rPr>
          <w:t xml:space="preserve">6.3.0 Introduction</w:t>
        </w:r>
      </w:hyperlink>
      <w:r>
        <w:br/>
      </w:r>
      <w:r>
        <w:t xml:space="preserve">        </w:t>
      </w:r>
      <w:hyperlink w:anchor="configuration-of-ogcsta-server">
        <w:r>
          <w:rPr>
            <w:rStyle w:val="Hyperlink"/>
          </w:rPr>
          <w:t xml:space="preserve">6.3.1 Configuration of OGC/STA server</w:t>
        </w:r>
      </w:hyperlink>
      <w:r>
        <w:br/>
      </w:r>
      <w:r>
        <w:t xml:space="preserve">            </w:t>
      </w:r>
      <w:hyperlink w:anchor="overview-1">
        <w:r>
          <w:rPr>
            <w:rStyle w:val="Hyperlink"/>
          </w:rPr>
          <w:t xml:space="preserve">6.3.1.0 Overview</w:t>
        </w:r>
      </w:hyperlink>
      <w:r>
        <w:br/>
      </w:r>
      <w:r>
        <w:t xml:space="preserve">            </w:t>
      </w:r>
      <w:hyperlink w:anchor="Xbc3b2d3f17d15cef8ccf6a46767561e165ad0d0">
        <w:r>
          <w:rPr>
            <w:rStyle w:val="Hyperlink"/>
          </w:rPr>
          <w:t xml:space="preserve">6.3.1.1 Communication direction OGC/STA Server towards IPE</w:t>
        </w:r>
      </w:hyperlink>
      <w:r>
        <w:br/>
      </w:r>
      <w:r>
        <w:t xml:space="preserve">            </w:t>
      </w:r>
      <w:hyperlink w:anchor="X0453be452f65c9d23a539b48bdf9f971d17adf6">
        <w:r>
          <w:rPr>
            <w:rStyle w:val="Hyperlink"/>
          </w:rPr>
          <w:t xml:space="preserve">6.3.1.2 Communication direction IPE towards OGC/STA server</w:t>
        </w:r>
      </w:hyperlink>
      <w:r>
        <w:br/>
      </w:r>
      <w:r>
        <w:t xml:space="preserve">        </w:t>
      </w:r>
      <w:hyperlink w:anchor="configuration-of-the-onem2m-cse">
        <w:r>
          <w:rPr>
            <w:rStyle w:val="Hyperlink"/>
          </w:rPr>
          <w:t xml:space="preserve">6.3.2 Configuration of the oneM2M CSE</w:t>
        </w:r>
      </w:hyperlink>
      <w:r>
        <w:br/>
      </w:r>
      <w:r>
        <w:t xml:space="preserve">            </w:t>
      </w:r>
      <w:hyperlink w:anchor="general-configuration-aspects">
        <w:r>
          <w:rPr>
            <w:rStyle w:val="Hyperlink"/>
          </w:rPr>
          <w:t xml:space="preserve">6.3.2.0 General configuration aspects</w:t>
        </w:r>
      </w:hyperlink>
      <w:r>
        <w:br/>
      </w:r>
      <w:r>
        <w:t xml:space="preserve">            </w:t>
      </w:r>
      <w:hyperlink w:anchor="X48adffedc2410e0eb9b535a3d533068faa8ae7b">
        <w:r>
          <w:rPr>
            <w:rStyle w:val="Hyperlink"/>
          </w:rPr>
          <w:t xml:space="preserve">6.3.2.1 Communication direction oneM2M CSE towards IPE</w:t>
        </w:r>
      </w:hyperlink>
      <w:r>
        <w:br/>
      </w:r>
      <w:r>
        <w:t xml:space="preserve">            </w:t>
      </w:r>
      <w:hyperlink w:anchor="X22743badcb57e18f9099c90432b994ad4e35f87">
        <w:r>
          <w:rPr>
            <w:rStyle w:val="Hyperlink"/>
          </w:rPr>
          <w:t xml:space="preserve">6.3.2.2 Communication direction IPE towards oneM2M CSE</w:t>
        </w:r>
      </w:hyperlink>
      <w:r>
        <w:br/>
      </w:r>
      <w:hyperlink w:anchor="history">
        <w:r>
          <w:rPr>
            <w:rStyle w:val="Hyperlink"/>
          </w:rPr>
          <w:t xml:space="preserve">History</w:t>
        </w:r>
      </w:hyperlink>
    </w:p>
    <w:bookmarkEnd w:id="23"/>
    <w:bookmarkStart w:id="24" w:name="scope"/>
    <w:p>
      <w:pPr>
        <w:pStyle w:val="Heading1"/>
      </w:pPr>
      <w:r>
        <w:t xml:space="preserve">1 Scope</w:t>
      </w:r>
    </w:p>
    <w:p>
      <w:pPr>
        <w:pStyle w:val="FirstParagraph"/>
      </w:pPr>
      <w:r>
        <w:t xml:space="preserve">The present document provides the interworking specification between the oneM2M service layer and the OGC SensorThings API to enable seamless integration of IoT data and services, particularly in smart city environments.</w:t>
      </w:r>
    </w:p>
    <w:bookmarkEnd w:id="24"/>
    <w:bookmarkStart w:id="27" w:name="references"/>
    <w:p>
      <w:pPr>
        <w:pStyle w:val="Heading1"/>
      </w:pPr>
      <w:r>
        <w:t xml:space="preserve">2 References</w:t>
      </w:r>
    </w:p>
    <w:bookmarkStart w:id="25" w:name="normative-references"/>
    <w:p>
      <w:pPr>
        <w:pStyle w:val="Heading2"/>
      </w:pPr>
      <w:r>
        <w:t xml:space="preserve">2.1 Normative references</w:t>
      </w:r>
    </w:p>
    <w:p>
      <w:pPr>
        <w:pStyle w:val="FirstParagraph"/>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are necessary for the application of the present document.</w:t>
      </w:r>
    </w:p>
    <w:p>
      <w:pPr>
        <w:pStyle w:val="Compact"/>
        <w:numPr>
          <w:ilvl w:val="0"/>
          <w:numId w:val="1002"/>
        </w:numPr>
      </w:pPr>
      <w:r>
        <w:t xml:space="preserve">[1]</w:t>
      </w:r>
      <w:r>
        <w:t xml:space="preserve"> </w:t>
      </w:r>
      <w:r>
        <w:t xml:space="preserve"> </w:t>
      </w:r>
      <w:r>
        <w:t xml:space="preserve">Open Geospatial Consortium (OGC):</w:t>
      </w:r>
      <w:r>
        <w:t xml:space="preserve"> </w:t>
      </w:r>
      <w:r>
        <w:t xml:space="preserve">“OGC SensorThings API Part 1: Sensing Version 1.1”</w:t>
      </w:r>
    </w:p>
    <w:p>
      <w:pPr>
        <w:pStyle w:val="Compact"/>
        <w:numPr>
          <w:ilvl w:val="0"/>
          <w:numId w:val="1002"/>
        </w:numPr>
      </w:pPr>
      <w:r>
        <w:t xml:space="preserve">[2]</w:t>
      </w:r>
      <w:r>
        <w:t xml:space="preserve"> </w:t>
      </w:r>
      <w:r>
        <w:t xml:space="preserve"> </w:t>
      </w:r>
      <w:r>
        <w:t xml:space="preserve">oneM2M TS-0033:</w:t>
      </w:r>
      <w:r>
        <w:t xml:space="preserve"> </w:t>
      </w:r>
      <w:r>
        <w:t xml:space="preserve">“Interworking Framework”</w:t>
      </w:r>
    </w:p>
    <w:p>
      <w:pPr>
        <w:pStyle w:val="Compact"/>
        <w:numPr>
          <w:ilvl w:val="0"/>
          <w:numId w:val="1002"/>
        </w:numPr>
      </w:pPr>
      <w:r>
        <w:t xml:space="preserve">[3]</w:t>
      </w:r>
      <w:r>
        <w:t xml:space="preserve"> </w:t>
      </w:r>
      <w:r>
        <w:t xml:space="preserve"> </w:t>
      </w:r>
      <w:r>
        <w:t xml:space="preserve">oneM2M TS-0001:</w:t>
      </w:r>
      <w:r>
        <w:t xml:space="preserve"> </w:t>
      </w:r>
      <w:r>
        <w:t xml:space="preserve">“Functional Architecture”</w:t>
      </w:r>
    </w:p>
    <w:bookmarkEnd w:id="25"/>
    <w:bookmarkStart w:id="26" w:name="informative-references"/>
    <w:p>
      <w:pPr>
        <w:pStyle w:val="Heading2"/>
      </w:pPr>
      <w:r>
        <w:t xml:space="preserve">2.2 Informative references</w:t>
      </w:r>
    </w:p>
    <w:p>
      <w:pPr>
        <w:pStyle w:val="FirstParagraph"/>
      </w:pPr>
      <w:r>
        <w:t xml:space="preserve">References are either specific (identified by date of publication and/or edition number or version number) or nonspecific. For specific references,only the cited version applies. For non-specific references, the latest version of the referenced document (including any amendments) applies.</w:t>
      </w:r>
    </w:p>
    <w:p>
      <w:pPr>
        <w:pStyle w:val="BodyText"/>
      </w:pPr>
      <w:r>
        <w:t xml:space="preserve">The following referenced documents may be useful in implementing the present document or add to the reader’s understanding, but they are not required for conformance to the present document.</w:t>
      </w:r>
    </w:p>
    <w:p>
      <w:pPr>
        <w:pStyle w:val="Compact"/>
        <w:numPr>
          <w:ilvl w:val="0"/>
          <w:numId w:val="1003"/>
        </w:numPr>
      </w:pPr>
      <w:r>
        <w:t xml:space="preserve">[i.1]</w:t>
      </w:r>
      <w:r>
        <w:t xml:space="preserve"> </w:t>
      </w:r>
      <w:r>
        <w:t xml:space="preserve"> </w:t>
      </w:r>
      <w:r>
        <w:t xml:space="preserve">oneM2M Drafting Rules</w:t>
      </w:r>
    </w:p>
    <w:bookmarkEnd w:id="26"/>
    <w:bookmarkEnd w:id="27"/>
    <w:bookmarkStart w:id="31" w:name="Xe254da9c2f303321d6c9a4dcbd53386c9eebb59"/>
    <w:p>
      <w:pPr>
        <w:pStyle w:val="Heading1"/>
      </w:pPr>
      <w:r>
        <w:t xml:space="preserve">3 Definition of terms, symbols and abbreviations</w:t>
      </w:r>
    </w:p>
    <w:bookmarkStart w:id="28" w:name="terms"/>
    <w:p>
      <w:pPr>
        <w:pStyle w:val="Heading2"/>
      </w:pPr>
      <w:r>
        <w:t xml:space="preserve">3.1 Terms</w:t>
      </w:r>
    </w:p>
    <w:p>
      <w:pPr>
        <w:pStyle w:val="FirstParagraph"/>
      </w:pPr>
      <w:r>
        <w:t xml:space="preserve">Void.</w:t>
      </w:r>
    </w:p>
    <w:bookmarkEnd w:id="28"/>
    <w:bookmarkStart w:id="29" w:name="symbols"/>
    <w:p>
      <w:pPr>
        <w:pStyle w:val="Heading2"/>
      </w:pPr>
      <w:r>
        <w:t xml:space="preserve">3.2 Symbols</w:t>
      </w:r>
    </w:p>
    <w:p>
      <w:pPr>
        <w:pStyle w:val="FirstParagraph"/>
      </w:pPr>
      <w:r>
        <w:t xml:space="preserve">Void.</w:t>
      </w:r>
    </w:p>
    <w:bookmarkEnd w:id="29"/>
    <w:bookmarkStart w:id="30" w:name="abbreviations"/>
    <w:p>
      <w:pPr>
        <w:pStyle w:val="Heading2"/>
      </w:pPr>
      <w:r>
        <w:t xml:space="preserve">3.3 Abbreviations</w:t>
      </w:r>
    </w:p>
    <w:p>
      <w:pPr>
        <w:pStyle w:val="FirstParagraph"/>
      </w:pPr>
      <w:r>
        <w:t xml:space="preserve">Void.</w:t>
      </w:r>
    </w:p>
    <w:bookmarkEnd w:id="30"/>
    <w:bookmarkEnd w:id="31"/>
    <w:bookmarkStart w:id="32" w:name="conventions"/>
    <w:p>
      <w:pPr>
        <w:pStyle w:val="Heading1"/>
      </w:pPr>
      <w:r>
        <w:t xml:space="preserve">4 Conventions</w:t>
      </w:r>
    </w:p>
    <w:p>
      <w:pPr>
        <w:pStyle w:val="FirstParagraph"/>
      </w:pPr>
      <w:r>
        <w:t xml:space="preserve">The key words</w:t>
      </w:r>
      <w:r>
        <w:t xml:space="preserve"> </w:t>
      </w:r>
      <w:r>
        <w:t xml:space="preserve">“Shall”</w:t>
      </w:r>
      <w:r>
        <w:t xml:space="preserve">,</w:t>
      </w:r>
      <w:r>
        <w:t xml:space="preserve"> </w:t>
      </w:r>
      <w:r>
        <w:t xml:space="preserve">“Shall not”</w:t>
      </w:r>
      <w:r>
        <w:t xml:space="preserve">,</w:t>
      </w:r>
      <w:r>
        <w:t xml:space="preserve"> </w:t>
      </w:r>
      <w:r>
        <w:t xml:space="preserve">“May”</w:t>
      </w:r>
      <w:r>
        <w:t xml:space="preserve">,</w:t>
      </w:r>
      <w:r>
        <w:t xml:space="preserve"> </w:t>
      </w:r>
      <w:r>
        <w:t xml:space="preserve">“Need not”</w:t>
      </w:r>
      <w:r>
        <w:t xml:space="preserve">,</w:t>
      </w:r>
      <w:r>
        <w:t xml:space="preserve"> </w:t>
      </w:r>
      <w:r>
        <w:t xml:space="preserve">“Should”</w:t>
      </w:r>
      <w:r>
        <w:t xml:space="preserve">,</w:t>
      </w:r>
      <w:r>
        <w:t xml:space="preserve"> </w:t>
      </w:r>
      <w:r>
        <w:t xml:space="preserve">“Should not”</w:t>
      </w:r>
      <w:r>
        <w:t xml:space="preserve"> </w:t>
      </w:r>
      <w:r>
        <w:t xml:space="preserve">in this document are to be interpreted as described in the oneM2M Drafting Rules</w:t>
      </w:r>
      <w:r>
        <w:t xml:space="preserve"> </w:t>
      </w:r>
      <w:r>
        <w:t xml:space="preserve">[i.1]</w:t>
      </w:r>
    </w:p>
    <w:bookmarkEnd w:id="32"/>
    <w:bookmarkStart w:id="39" w:name="introduction-to-ogc-sensorthings-api"/>
    <w:p>
      <w:pPr>
        <w:pStyle w:val="Heading1"/>
      </w:pPr>
      <w:r>
        <w:t xml:space="preserve">5 Introduction to OGC SensorThings API</w:t>
      </w:r>
    </w:p>
    <w:p>
      <w:pPr>
        <w:pStyle w:val="FirstParagraph"/>
      </w:pPr>
      <w:r>
        <w:t xml:space="preserve">The SensorThings API (STA) is a standard of the Open Geospatial Consortium (OGC). It provides a framework for communication and exchanging data between sensors and applications. The standard is devided in two parts. SensorThings API Part 1</w:t>
      </w:r>
      <w:r>
        <w:t xml:space="preserve"> </w:t>
      </w:r>
      <w:r>
        <w:t xml:space="preserve">[1]</w:t>
      </w:r>
      <w:r>
        <w:t xml:space="preserve"> </w:t>
      </w:r>
      <w:r>
        <w:t xml:space="preserve">is dedicated to sensing and was published in 2016 and updated in 2021.</w:t>
      </w:r>
      <w:r>
        <w:br/>
      </w:r>
      <w:r>
        <w:t xml:space="preserve">A STA-based architecture works in client/server mode. A sensor device pushes data to the SensorThings server via HTTP. A SensorThings server may also support MQTT protocol to support publish and subscribe capabilities. An interested application can subscribe to the MQTT-broker, in order to get notified about new sensor events.</w:t>
      </w:r>
    </w:p>
    <w:p>
      <w:pPr>
        <w:pStyle w:val="CaptionedFigure"/>
      </w:pPr>
      <w:r>
        <w:drawing>
          <wp:inline>
            <wp:extent cx="4768381" cy="1221245"/>
            <wp:effectExtent b="0" l="0" r="0" t="0"/>
            <wp:docPr descr="Figure 5-1 STA message flow" title="" id="34" name="Picture"/>
            <a:graphic>
              <a:graphicData uri="http://schemas.openxmlformats.org/drawingml/2006/picture">
                <pic:pic>
                  <pic:nvPicPr>
                    <pic:cNvPr descr="./media/STA_flow.png" id="35" name="Picture"/>
                    <pic:cNvPicPr>
                      <a:picLocks noChangeArrowheads="1" noChangeAspect="1"/>
                    </pic:cNvPicPr>
                  </pic:nvPicPr>
                  <pic:blipFill>
                    <a:blip r:embed="rId33"/>
                    <a:stretch>
                      <a:fillRect/>
                    </a:stretch>
                  </pic:blipFill>
                  <pic:spPr bwMode="auto">
                    <a:xfrm>
                      <a:off x="0" y="0"/>
                      <a:ext cx="4768381" cy="1221245"/>
                    </a:xfrm>
                    <a:prstGeom prst="rect">
                      <a:avLst/>
                    </a:prstGeom>
                    <a:noFill/>
                    <a:ln w="9525">
                      <a:noFill/>
                      <a:headEnd/>
                      <a:tailEnd/>
                    </a:ln>
                  </pic:spPr>
                </pic:pic>
              </a:graphicData>
            </a:graphic>
          </wp:inline>
        </w:drawing>
      </w:r>
    </w:p>
    <w:p>
      <w:pPr>
        <w:pStyle w:val="ImageCaption"/>
      </w:pPr>
      <w:r>
        <w:t xml:space="preserve">Figure 5-1 STA message flow</w:t>
      </w:r>
    </w:p>
    <w:p>
      <w:pPr>
        <w:pStyle w:val="BodyText"/>
      </w:pPr>
      <w:r>
        <w:t xml:space="preserve">The data in the SensorThings server are organized as according to Sensing Entities Data Model (see figure 5-2: Sensing Entities data model).</w:t>
      </w:r>
    </w:p>
    <w:p>
      <w:pPr>
        <w:pStyle w:val="CaptionedFigure"/>
      </w:pPr>
      <w:r>
        <w:drawing>
          <wp:inline>
            <wp:extent cx="6108700" cy="4329587"/>
            <wp:effectExtent b="0" l="0" r="0" t="0"/>
            <wp:docPr descr="Figure 5-2 STA Sensing Entities Data Model" title="" id="37" name="Picture"/>
            <a:graphic>
              <a:graphicData uri="http://schemas.openxmlformats.org/drawingml/2006/picture">
                <pic:pic>
                  <pic:nvPicPr>
                    <pic:cNvPr descr="./media/data_model.jpg" id="38" name="Picture"/>
                    <pic:cNvPicPr>
                      <a:picLocks noChangeArrowheads="1" noChangeAspect="1"/>
                    </pic:cNvPicPr>
                  </pic:nvPicPr>
                  <pic:blipFill>
                    <a:blip r:embed="rId36"/>
                    <a:stretch>
                      <a:fillRect/>
                    </a:stretch>
                  </pic:blipFill>
                  <pic:spPr bwMode="auto">
                    <a:xfrm>
                      <a:off x="0" y="0"/>
                      <a:ext cx="6108700" cy="4329587"/>
                    </a:xfrm>
                    <a:prstGeom prst="rect">
                      <a:avLst/>
                    </a:prstGeom>
                    <a:noFill/>
                    <a:ln w="9525">
                      <a:noFill/>
                      <a:headEnd/>
                      <a:tailEnd/>
                    </a:ln>
                  </pic:spPr>
                </pic:pic>
              </a:graphicData>
            </a:graphic>
          </wp:inline>
        </w:drawing>
      </w:r>
    </w:p>
    <w:p>
      <w:pPr>
        <w:pStyle w:val="ImageCaption"/>
      </w:pPr>
      <w:r>
        <w:t xml:space="preserve">Figure 5-2 STA Sensing Entities Data Model</w:t>
      </w:r>
    </w:p>
    <w:p>
      <w:pPr>
        <w:pStyle w:val="BodyText"/>
      </w:pPr>
      <w:r>
        <w:t xml:space="preserve">In the Sensing Entities Data Model events or sensor data are called Observation entities. Before a sensor is able to push an observation to the server it needs at least a Thing entity and a Datastream entity. This has to be created beforehand. One Thing entity might have different sensors entities, one Location entity or many HistoricalLocation entities.</w:t>
      </w:r>
    </w:p>
    <w:p>
      <w:pPr>
        <w:pStyle w:val="BodyText"/>
      </w:pPr>
      <w:r>
        <w:t xml:space="preserve">The Sensing Entities Data Model and the purpose of data within the data model discloses mainly two data characteristics associated with a Thing entity:</w:t>
      </w:r>
      <w:r>
        <w:t xml:space="preserve"> </w:t>
      </w:r>
      <w:r>
        <w:t xml:space="preserve">- data observations originated by sensors or commands sent to interact with actuators can be seen as IoT data from oneM2M point of view.</w:t>
      </w:r>
      <w:r>
        <w:t xml:space="preserve"> </w:t>
      </w:r>
      <w:r>
        <w:t xml:space="preserve">- data embedded in the Sensing Entities Data Model, like HistoricLocation entities, can be seen as data for documentation purposes.</w:t>
      </w:r>
    </w:p>
    <w:bookmarkEnd w:id="39"/>
    <w:bookmarkStart w:id="89" w:name="X5abb80ab801ecd6d30d47e6986a4a41afff489a"/>
    <w:p>
      <w:pPr>
        <w:pStyle w:val="Heading1"/>
      </w:pPr>
      <w:r>
        <w:t xml:space="preserve">6 Architecture model of OGC/STA to oneM2M interworking</w:t>
      </w:r>
    </w:p>
    <w:bookmarkStart w:id="43" w:name="overview"/>
    <w:p>
      <w:pPr>
        <w:pStyle w:val="Heading2"/>
      </w:pPr>
      <w:r>
        <w:t xml:space="preserve">6.0 Overview</w:t>
      </w:r>
    </w:p>
    <w:p>
      <w:pPr>
        <w:pStyle w:val="FirstParagraph"/>
      </w:pPr>
      <w:r>
        <w:t xml:space="preserve">Figure 6.0-1 shows an architecture approach for an Interworking Proxy Entity (IPE) between oneM2M and the OGC SensorThings API. The IPE is located between a oneM2M CSE and an OGC/SensorThings API (STA) server.</w:t>
      </w:r>
    </w:p>
    <w:p>
      <w:pPr>
        <w:pStyle w:val="BodyText"/>
      </w:pPr>
      <w:r>
        <w:t xml:space="preserve">The basic interworking enables applications that are connected to an oneM2M-based system to get data from sensors that are connected to an OGC/STA server. Furthermore, an application that is connected to an OGC/STA server will be able to get data from sensors that are connected to an oneM2M-based system. The communication flow of the IPE shall rely on HTTP and MQTT. The MQTT protocol enables publish-subscribe functionality for the OGC side, as specified in the MQTT extension of the SensorThings API</w:t>
      </w:r>
      <w:r>
        <w:t xml:space="preserve"> </w:t>
      </w:r>
      <w:r>
        <w:t xml:space="preserve">[1]</w:t>
      </w:r>
      <w:r>
        <w:t xml:space="preserve">.</w:t>
      </w:r>
    </w:p>
    <w:p>
      <w:pPr>
        <w:pStyle w:val="CaptionedFigure"/>
      </w:pPr>
      <w:r>
        <w:drawing>
          <wp:inline>
            <wp:extent cx="6108700" cy="3270381"/>
            <wp:effectExtent b="0" l="0" r="0" t="0"/>
            <wp:docPr descr="Figure 6.0-1: IPE architecture overview" title="" id="41" name="Picture"/>
            <a:graphic>
              <a:graphicData uri="http://schemas.openxmlformats.org/drawingml/2006/picture">
                <pic:pic>
                  <pic:nvPicPr>
                    <pic:cNvPr descr="./media/STA_oneM2M_architekturbild_01.png" id="42" name="Picture"/>
                    <pic:cNvPicPr>
                      <a:picLocks noChangeArrowheads="1" noChangeAspect="1"/>
                    </pic:cNvPicPr>
                  </pic:nvPicPr>
                  <pic:blipFill>
                    <a:blip r:embed="rId40"/>
                    <a:stretch>
                      <a:fillRect/>
                    </a:stretch>
                  </pic:blipFill>
                  <pic:spPr bwMode="auto">
                    <a:xfrm>
                      <a:off x="0" y="0"/>
                      <a:ext cx="6108700" cy="3270381"/>
                    </a:xfrm>
                    <a:prstGeom prst="rect">
                      <a:avLst/>
                    </a:prstGeom>
                    <a:noFill/>
                    <a:ln w="9525">
                      <a:noFill/>
                      <a:headEnd/>
                      <a:tailEnd/>
                    </a:ln>
                  </pic:spPr>
                </pic:pic>
              </a:graphicData>
            </a:graphic>
          </wp:inline>
        </w:drawing>
      </w:r>
    </w:p>
    <w:p>
      <w:pPr>
        <w:pStyle w:val="ImageCaption"/>
      </w:pPr>
      <w:r>
        <w:t xml:space="preserve">Figure 6.0-1: IPE architecture overview</w:t>
      </w:r>
    </w:p>
    <w:bookmarkEnd w:id="43"/>
    <w:bookmarkStart w:id="47" w:name="ogcsta-to-onem2m-data-model-mapping"/>
    <w:p>
      <w:pPr>
        <w:pStyle w:val="Heading2"/>
      </w:pPr>
      <w:r>
        <w:t xml:space="preserve">6.1 OGC/STA-to-oneM2M data model mapping</w:t>
      </w:r>
    </w:p>
    <w:p>
      <w:pPr>
        <w:pStyle w:val="FirstParagraph"/>
      </w:pPr>
      <w:r>
        <w:t xml:space="preserve">According to oneM2M TS-0033</w:t>
      </w:r>
      <w:r>
        <w:t xml:space="preserve"> </w:t>
      </w:r>
      <w:r>
        <w:t xml:space="preserve">[2]</w:t>
      </w:r>
      <w:r>
        <w:t xml:space="preserve">, a representation of a non-oneM2M Proximal IoT function/device in a oneM2M-specified resource instance is to be synchronized with the entity that it represents. Thus the OGC Sensing Entities Data Model has to be represented in the hosting CSE. The Sensing Entities Data Model is comprehensive and can be regarded as a n:m relational database structure, holding both:</w:t>
      </w:r>
      <w:r>
        <w:t xml:space="preserve"> </w:t>
      </w:r>
      <w:r>
        <w:t xml:space="preserve">- sensor (IoT-data); and</w:t>
      </w:r>
      <w:r>
        <w:t xml:space="preserve"> </w:t>
      </w:r>
      <w:r>
        <w:t xml:space="preserve">- administrative data (like historic locations or historic products IDs).</w:t>
      </w:r>
    </w:p>
    <w:p>
      <w:pPr>
        <w:pStyle w:val="BodyText"/>
      </w:pPr>
      <w:r>
        <w:t xml:space="preserve">The IPE shall map the</w:t>
      </w:r>
      <w:r>
        <w:t xml:space="preserve"> </w:t>
      </w:r>
      <w:r>
        <w:rPr>
          <w:i/>
          <w:iCs/>
        </w:rPr>
        <w:t xml:space="preserve">result</w:t>
      </w:r>
      <w:r>
        <w:t xml:space="preserve"> </w:t>
      </w:r>
      <w:r>
        <w:t xml:space="preserve">property of an OGC/STA Observation entity to the</w:t>
      </w:r>
      <w:r>
        <w:t xml:space="preserve"> </w:t>
      </w:r>
      <w:r>
        <w:rPr>
          <w:i/>
          <w:iCs/>
        </w:rPr>
        <w:t xml:space="preserve">content</w:t>
      </w:r>
      <w:r>
        <w:t xml:space="preserve"> </w:t>
      </w:r>
      <w:r>
        <w:t xml:space="preserve">attribute of a oneM2M</w:t>
      </w:r>
      <w:r>
        <w:t xml:space="preserve"> </w:t>
      </w:r>
      <w:r>
        <w:rPr>
          <w:rStyle w:val="VerbatimChar"/>
          <w:i/>
          <w:iCs/>
        </w:rPr>
        <w:t xml:space="preserve">&lt;contentInstance&gt;</w:t>
      </w:r>
      <w:r>
        <w:t xml:space="preserve"> </w:t>
      </w:r>
      <w:r>
        <w:t xml:space="preserve">resource, and vice versa as shown in figure 6.1-1. The data type of the</w:t>
      </w:r>
      <w:r>
        <w:t xml:space="preserve"> </w:t>
      </w:r>
      <w:r>
        <w:rPr>
          <w:i/>
          <w:iCs/>
        </w:rPr>
        <w:t xml:space="preserve">result</w:t>
      </w:r>
      <w:r>
        <w:t xml:space="preserve"> </w:t>
      </w:r>
      <w:r>
        <w:t xml:space="preserve">property of an Observation entity is according to SensorThings API</w:t>
      </w:r>
      <w:r>
        <w:t xml:space="preserve"> </w:t>
      </w:r>
      <w:r>
        <w:t xml:space="preserve">[1]</w:t>
      </w:r>
      <w:r>
        <w:t xml:space="preserve"> </w:t>
      </w:r>
      <w:r>
        <w:t xml:space="preserve">‘any’</w:t>
      </w:r>
      <w:r>
        <w:t xml:space="preserve"> </w:t>
      </w:r>
      <w:r>
        <w:t xml:space="preserve">and depends on the</w:t>
      </w:r>
      <w:r>
        <w:t xml:space="preserve"> </w:t>
      </w:r>
      <w:r>
        <w:rPr>
          <w:i/>
          <w:iCs/>
        </w:rPr>
        <w:t xml:space="preserve">observationType</w:t>
      </w:r>
      <w:r>
        <w:t xml:space="preserve"> </w:t>
      </w:r>
      <w:r>
        <w:t xml:space="preserve">property defined in the associated Datastream entity. The</w:t>
      </w:r>
      <w:r>
        <w:t xml:space="preserve"> </w:t>
      </w:r>
      <w:r>
        <w:rPr>
          <w:i/>
          <w:iCs/>
        </w:rPr>
        <w:t xml:space="preserve">content</w:t>
      </w:r>
      <w:r>
        <w:t xml:space="preserve"> </w:t>
      </w:r>
      <w:r>
        <w:t xml:space="preserve">attribute of an oneM2M</w:t>
      </w:r>
      <w:r>
        <w:t xml:space="preserve"> </w:t>
      </w:r>
      <w:r>
        <w:rPr>
          <w:rStyle w:val="VerbatimChar"/>
          <w:i/>
          <w:iCs/>
        </w:rPr>
        <w:t xml:space="preserve">&lt;contentInstance&gt;</w:t>
      </w:r>
      <w:r>
        <w:t xml:space="preserve"> </w:t>
      </w:r>
      <w:r>
        <w:t xml:space="preserve">resource may be stringified data</w:t>
      </w:r>
      <w:r>
        <w:t xml:space="preserve"> </w:t>
      </w:r>
      <w:r>
        <w:t xml:space="preserve">[3]</w:t>
      </w:r>
      <w:r>
        <w:t xml:space="preserve"> </w:t>
      </w:r>
      <w:r>
        <w:t xml:space="preserve">understandable with the help of the</w:t>
      </w:r>
      <w:r>
        <w:t xml:space="preserve"> </w:t>
      </w:r>
      <w:r>
        <w:rPr>
          <w:i/>
          <w:iCs/>
        </w:rPr>
        <w:t xml:space="preserve">contentInfo</w:t>
      </w:r>
      <w:r>
        <w:t xml:space="preserve"> </w:t>
      </w:r>
      <w:r>
        <w:t xml:space="preserve">attribute. The</w:t>
      </w:r>
      <w:r>
        <w:t xml:space="preserve"> </w:t>
      </w:r>
      <w:r>
        <w:rPr>
          <w:i/>
          <w:iCs/>
        </w:rPr>
        <w:t xml:space="preserve">contentInfo</w:t>
      </w:r>
      <w:r>
        <w:t xml:space="preserve"> </w:t>
      </w:r>
      <w:r>
        <w:t xml:space="preserve">attribute on the oneM2M side may be added by the IPE. The original timestamps, present in the Observation entity as</w:t>
      </w:r>
      <w:r>
        <w:t xml:space="preserve"> </w:t>
      </w:r>
      <w:r>
        <w:rPr>
          <w:i/>
          <w:iCs/>
        </w:rPr>
        <w:t xml:space="preserve">phenomenonTime</w:t>
      </w:r>
      <w:r>
        <w:t xml:space="preserve"> </w:t>
      </w:r>
      <w:r>
        <w:t xml:space="preserve">property and in the</w:t>
      </w:r>
      <w:r>
        <w:t xml:space="preserve"> </w:t>
      </w:r>
      <w:r>
        <w:rPr>
          <w:rStyle w:val="VerbatimChar"/>
          <w:i/>
          <w:iCs/>
        </w:rPr>
        <w:t xml:space="preserve">&lt;contentInstance&gt;</w:t>
      </w:r>
      <w:r>
        <w:t xml:space="preserve"> </w:t>
      </w:r>
      <w:r>
        <w:t xml:space="preserve">resource as</w:t>
      </w:r>
      <w:r>
        <w:t xml:space="preserve"> </w:t>
      </w:r>
      <w:r>
        <w:rPr>
          <w:i/>
          <w:iCs/>
        </w:rPr>
        <w:t xml:space="preserve">creationTime</w:t>
      </w:r>
      <w:r>
        <w:t xml:space="preserve"> </w:t>
      </w:r>
      <w:r>
        <w:t xml:space="preserve">attribute, shall be discarded. These timestamps are to be reset by the OGC/STA server and the CSE. They may be transmitted for informational purposes as part of the</w:t>
      </w:r>
      <w:r>
        <w:t xml:space="preserve"> </w:t>
      </w:r>
      <w:r>
        <w:rPr>
          <w:i/>
          <w:iCs/>
        </w:rPr>
        <w:t xml:space="preserve">result</w:t>
      </w:r>
      <w:r>
        <w:t xml:space="preserve"> </w:t>
      </w:r>
      <w:r>
        <w:t xml:space="preserve">property or the</w:t>
      </w:r>
      <w:r>
        <w:t xml:space="preserve"> </w:t>
      </w:r>
      <w:r>
        <w:rPr>
          <w:i/>
          <w:iCs/>
        </w:rPr>
        <w:t xml:space="preserve">content</w:t>
      </w:r>
      <w:r>
        <w:t xml:space="preserve"> </w:t>
      </w:r>
      <w:r>
        <w:t xml:space="preserve">attribute.</w:t>
      </w:r>
    </w:p>
    <w:p>
      <w:pPr>
        <w:pStyle w:val="CaptionedFigure"/>
      </w:pPr>
      <w:r>
        <w:drawing>
          <wp:inline>
            <wp:extent cx="6108700" cy="4377805"/>
            <wp:effectExtent b="0" l="0" r="0" t="0"/>
            <wp:docPr descr="Figure 6.1-1: OGC / STA-to-oneM2M data model mapping" title="" id="45" name="Picture"/>
            <a:graphic>
              <a:graphicData uri="http://schemas.openxmlformats.org/drawingml/2006/picture">
                <pic:pic>
                  <pic:nvPicPr>
                    <pic:cNvPr descr="./media/data_mapping.png" id="46" name="Picture"/>
                    <pic:cNvPicPr>
                      <a:picLocks noChangeArrowheads="1" noChangeAspect="1"/>
                    </pic:cNvPicPr>
                  </pic:nvPicPr>
                  <pic:blipFill>
                    <a:blip r:embed="rId44"/>
                    <a:stretch>
                      <a:fillRect/>
                    </a:stretch>
                  </pic:blipFill>
                  <pic:spPr bwMode="auto">
                    <a:xfrm>
                      <a:off x="0" y="0"/>
                      <a:ext cx="6108700" cy="4377805"/>
                    </a:xfrm>
                    <a:prstGeom prst="rect">
                      <a:avLst/>
                    </a:prstGeom>
                    <a:noFill/>
                    <a:ln w="9525">
                      <a:noFill/>
                      <a:headEnd/>
                      <a:tailEnd/>
                    </a:ln>
                  </pic:spPr>
                </pic:pic>
              </a:graphicData>
            </a:graphic>
          </wp:inline>
        </w:drawing>
      </w:r>
    </w:p>
    <w:p>
      <w:pPr>
        <w:pStyle w:val="ImageCaption"/>
      </w:pPr>
      <w:r>
        <w:t xml:space="preserve">Figure 6.1-1: OGC / STA-to-oneM2M data model mapping</w:t>
      </w:r>
    </w:p>
    <w:bookmarkEnd w:id="47"/>
    <w:bookmarkStart w:id="54" w:name="communication-flow"/>
    <w:p>
      <w:pPr>
        <w:pStyle w:val="Heading2"/>
      </w:pPr>
      <w:r>
        <w:t xml:space="preserve">6.2 Communication flow</w:t>
      </w:r>
    </w:p>
    <w:p>
      <w:pPr>
        <w:pStyle w:val="FirstParagraph"/>
      </w:pPr>
      <w:r>
        <w:t xml:space="preserve">Figure 6.2-1 shows the oneM2M to OGC/STA direction of the communication flow. In order to transfer data from a oneM2M sensor to the OGC/STA server, the IPE creates a</w:t>
      </w:r>
      <w:r>
        <w:t xml:space="preserve"> </w:t>
      </w:r>
      <w:r>
        <w:rPr>
          <w:rStyle w:val="VerbatimChar"/>
          <w:i/>
          <w:iCs/>
        </w:rPr>
        <w:t xml:space="preserve">&lt;subscription&gt;</w:t>
      </w:r>
      <w:r>
        <w:t xml:space="preserve"> </w:t>
      </w:r>
      <w:r>
        <w:t xml:space="preserve">resource to the</w:t>
      </w:r>
      <w:r>
        <w:t xml:space="preserve"> </w:t>
      </w:r>
      <w:r>
        <w:rPr>
          <w:rStyle w:val="VerbatimChar"/>
          <w:i/>
          <w:iCs/>
        </w:rPr>
        <w:t xml:space="preserve">&lt;container&gt;</w:t>
      </w:r>
      <w:r>
        <w:t xml:space="preserve"> </w:t>
      </w:r>
      <w:r>
        <w:t xml:space="preserve">resource in the CSE containing the desired data. Triggered by a sensor event, a new</w:t>
      </w:r>
      <w:r>
        <w:t xml:space="preserve"> </w:t>
      </w:r>
      <w:r>
        <w:rPr>
          <w:rStyle w:val="VerbatimChar"/>
          <w:i/>
          <w:iCs/>
        </w:rPr>
        <w:t xml:space="preserve">&lt;contentInstance&gt;</w:t>
      </w:r>
      <w:r>
        <w:t xml:space="preserve"> </w:t>
      </w:r>
      <w:r>
        <w:t xml:space="preserve">resource is added to the</w:t>
      </w:r>
      <w:r>
        <w:t xml:space="preserve"> </w:t>
      </w:r>
      <w:r>
        <w:rPr>
          <w:rStyle w:val="VerbatimChar"/>
          <w:i/>
          <w:iCs/>
        </w:rPr>
        <w:t xml:space="preserve">&lt;container&gt;</w:t>
      </w:r>
      <w:r>
        <w:t xml:space="preserve"> </w:t>
      </w:r>
      <w:r>
        <w:t xml:space="preserve">resource by the AE. The IPE gets a notification containing the</w:t>
      </w:r>
      <w:r>
        <w:t xml:space="preserve"> </w:t>
      </w:r>
      <w:r>
        <w:rPr>
          <w:rStyle w:val="VerbatimChar"/>
          <w:i/>
          <w:iCs/>
        </w:rPr>
        <w:t xml:space="preserve">&lt;contentInstance&gt;</w:t>
      </w:r>
      <w:r>
        <w:t xml:space="preserve"> </w:t>
      </w:r>
      <w:r>
        <w:t xml:space="preserve">resource.</w:t>
      </w:r>
      <w:r>
        <w:t xml:space="preserve"> </w:t>
      </w:r>
      <w:r>
        <w:t xml:space="preserve">The IPE constructs an Observation entity creation request and copies the</w:t>
      </w:r>
      <w:r>
        <w:t xml:space="preserve"> </w:t>
      </w:r>
      <w:r>
        <w:rPr>
          <w:i/>
          <w:iCs/>
        </w:rPr>
        <w:t xml:space="preserve">content</w:t>
      </w:r>
      <w:r>
        <w:t xml:space="preserve"> </w:t>
      </w:r>
      <w:r>
        <w:t xml:space="preserve">attribute of the</w:t>
      </w:r>
      <w:r>
        <w:t xml:space="preserve"> </w:t>
      </w:r>
      <w:r>
        <w:rPr>
          <w:rStyle w:val="VerbatimChar"/>
          <w:i/>
          <w:iCs/>
        </w:rPr>
        <w:t xml:space="preserve">&lt;contentInstance&gt;</w:t>
      </w:r>
      <w:r>
        <w:t xml:space="preserve"> </w:t>
      </w:r>
      <w:r>
        <w:t xml:space="preserve">resource to the</w:t>
      </w:r>
      <w:r>
        <w:t xml:space="preserve"> </w:t>
      </w:r>
      <w:r>
        <w:rPr>
          <w:i/>
          <w:iCs/>
        </w:rPr>
        <w:t xml:space="preserve">result</w:t>
      </w:r>
      <w:r>
        <w:t xml:space="preserve"> </w:t>
      </w:r>
      <w:r>
        <w:t xml:space="preserve">property of the Observation entity and sends the request to a Datastream entity to be created as detailed in clause 6.3.1 at the OGC/STA server. The OGC/STA application gets the sensor data either by polling the OGC/STA server or subscribing to the corresponding Datastream entity at the MQTT broker of the OGC/STA server.</w:t>
      </w:r>
    </w:p>
    <w:p>
      <w:pPr>
        <w:pStyle w:val="CaptionedFigure"/>
      </w:pPr>
      <w:r>
        <w:drawing>
          <wp:inline>
            <wp:extent cx="6108700" cy="3114735"/>
            <wp:effectExtent b="0" l="0" r="0" t="0"/>
            <wp:docPr descr="Figure 6.2-1: Communication flow in oneM2M-to-OGC/STA direction" title="" id="49" name="Picture"/>
            <a:graphic>
              <a:graphicData uri="http://schemas.openxmlformats.org/drawingml/2006/picture">
                <pic:pic>
                  <pic:nvPicPr>
                    <pic:cNvPr descr="./media/com_flow_1.png" id="50" name="Picture"/>
                    <pic:cNvPicPr>
                      <a:picLocks noChangeArrowheads="1" noChangeAspect="1"/>
                    </pic:cNvPicPr>
                  </pic:nvPicPr>
                  <pic:blipFill>
                    <a:blip r:embed="rId48"/>
                    <a:stretch>
                      <a:fillRect/>
                    </a:stretch>
                  </pic:blipFill>
                  <pic:spPr bwMode="auto">
                    <a:xfrm>
                      <a:off x="0" y="0"/>
                      <a:ext cx="6108700" cy="3114735"/>
                    </a:xfrm>
                    <a:prstGeom prst="rect">
                      <a:avLst/>
                    </a:prstGeom>
                    <a:noFill/>
                    <a:ln w="9525">
                      <a:noFill/>
                      <a:headEnd/>
                      <a:tailEnd/>
                    </a:ln>
                  </pic:spPr>
                </pic:pic>
              </a:graphicData>
            </a:graphic>
          </wp:inline>
        </w:drawing>
      </w:r>
    </w:p>
    <w:p>
      <w:pPr>
        <w:pStyle w:val="ImageCaption"/>
      </w:pPr>
      <w:r>
        <w:t xml:space="preserve">Figure 6.2-1: Communication flow in oneM2M-to-OGC/STA direction</w:t>
      </w:r>
    </w:p>
    <w:p>
      <w:pPr>
        <w:pStyle w:val="BodyText"/>
      </w:pPr>
      <w:r>
        <w:t xml:space="preserve">Figure 6.2-2 shows the OGC/STA to oneM2M direction of the communication flow. The IPE subscribes to the desired Datastream entity of the MQTT broker at the OGC/STA server. The OGC/STA server publishes a new Observation entity via the MQTT broker triggered by a OGC/STA sensor. The IPE creates a</w:t>
      </w:r>
      <w:r>
        <w:t xml:space="preserve"> </w:t>
      </w:r>
      <w:r>
        <w:rPr>
          <w:rStyle w:val="VerbatimChar"/>
          <w:i/>
          <w:iCs/>
        </w:rPr>
        <w:t xml:space="preserve">&lt;contentInstance&gt;</w:t>
      </w:r>
      <w:r>
        <w:t xml:space="preserve"> </w:t>
      </w:r>
      <w:r>
        <w:t xml:space="preserve">resource in a</w:t>
      </w:r>
      <w:r>
        <w:t xml:space="preserve"> </w:t>
      </w:r>
      <w:r>
        <w:rPr>
          <w:rStyle w:val="VerbatimChar"/>
          <w:i/>
          <w:iCs/>
        </w:rPr>
        <w:t xml:space="preserve">&lt;container&gt;</w:t>
      </w:r>
      <w:r>
        <w:t xml:space="preserve"> </w:t>
      </w:r>
      <w:r>
        <w:t xml:space="preserve">resource, to be created as detailed in Section 6.3.2 in the CSE and copies the</w:t>
      </w:r>
      <w:r>
        <w:t xml:space="preserve"> </w:t>
      </w:r>
      <w:r>
        <w:rPr>
          <w:i/>
          <w:iCs/>
        </w:rPr>
        <w:t xml:space="preserve">result</w:t>
      </w:r>
      <w:r>
        <w:t xml:space="preserve"> </w:t>
      </w:r>
      <w:r>
        <w:t xml:space="preserve">property of the Observation entity to the</w:t>
      </w:r>
      <w:r>
        <w:t xml:space="preserve"> </w:t>
      </w:r>
      <w:r>
        <w:rPr>
          <w:i/>
          <w:iCs/>
        </w:rPr>
        <w:t xml:space="preserve">content</w:t>
      </w:r>
      <w:r>
        <w:t xml:space="preserve"> </w:t>
      </w:r>
      <w:r>
        <w:t xml:space="preserve">attribute of the</w:t>
      </w:r>
      <w:r>
        <w:t xml:space="preserve"> </w:t>
      </w:r>
      <w:r>
        <w:rPr>
          <w:rStyle w:val="VerbatimChar"/>
          <w:i/>
          <w:iCs/>
        </w:rPr>
        <w:t xml:space="preserve">&lt;contentInstance&gt;</w:t>
      </w:r>
      <w:r>
        <w:t xml:space="preserve"> </w:t>
      </w:r>
      <w:r>
        <w:t xml:space="preserve">resource. The oneM2M applcation gets the sensor data either by polling the CSE or subscribing to the desired</w:t>
      </w:r>
      <w:r>
        <w:t xml:space="preserve"> </w:t>
      </w:r>
      <w:r>
        <w:rPr>
          <w:rStyle w:val="VerbatimChar"/>
          <w:i/>
          <w:iCs/>
        </w:rPr>
        <w:t xml:space="preserve">&lt;container&gt;</w:t>
      </w:r>
      <w:r>
        <w:t xml:space="preserve"> </w:t>
      </w:r>
      <w:r>
        <w:t xml:space="preserve">resource at the CSE.</w:t>
      </w:r>
    </w:p>
    <w:p>
      <w:pPr>
        <w:pStyle w:val="CaptionedFigure"/>
      </w:pPr>
      <w:r>
        <w:drawing>
          <wp:inline>
            <wp:extent cx="6108700" cy="2041648"/>
            <wp:effectExtent b="0" l="0" r="0" t="0"/>
            <wp:docPr descr="Figure 6.2-2: Communication flow in OGC/STA-to-oneM2M direction" title="" id="52" name="Picture"/>
            <a:graphic>
              <a:graphicData uri="http://schemas.openxmlformats.org/drawingml/2006/picture">
                <pic:pic>
                  <pic:nvPicPr>
                    <pic:cNvPr descr="./media/com_flow_2.png" id="53" name="Picture"/>
                    <pic:cNvPicPr>
                      <a:picLocks noChangeArrowheads="1" noChangeAspect="1"/>
                    </pic:cNvPicPr>
                  </pic:nvPicPr>
                  <pic:blipFill>
                    <a:blip r:embed="rId51"/>
                    <a:stretch>
                      <a:fillRect/>
                    </a:stretch>
                  </pic:blipFill>
                  <pic:spPr bwMode="auto">
                    <a:xfrm>
                      <a:off x="0" y="0"/>
                      <a:ext cx="6108700" cy="2041648"/>
                    </a:xfrm>
                    <a:prstGeom prst="rect">
                      <a:avLst/>
                    </a:prstGeom>
                    <a:noFill/>
                    <a:ln w="9525">
                      <a:noFill/>
                      <a:headEnd/>
                      <a:tailEnd/>
                    </a:ln>
                  </pic:spPr>
                </pic:pic>
              </a:graphicData>
            </a:graphic>
          </wp:inline>
        </w:drawing>
      </w:r>
    </w:p>
    <w:p>
      <w:pPr>
        <w:pStyle w:val="ImageCaption"/>
      </w:pPr>
      <w:r>
        <w:t xml:space="preserve">Figure 6.2-2: Communication flow in OGC/STA-to-oneM2M direction</w:t>
      </w:r>
    </w:p>
    <w:bookmarkEnd w:id="54"/>
    <w:bookmarkStart w:id="88" w:name="configuration-aspects"/>
    <w:p>
      <w:pPr>
        <w:pStyle w:val="Heading2"/>
      </w:pPr>
      <w:r>
        <w:t xml:space="preserve">6.3 Configuration aspects</w:t>
      </w:r>
    </w:p>
    <w:bookmarkStart w:id="58" w:name="introduction"/>
    <w:p>
      <w:pPr>
        <w:pStyle w:val="Heading3"/>
      </w:pPr>
      <w:r>
        <w:t xml:space="preserve">6.3.0 Introduction</w:t>
      </w:r>
    </w:p>
    <w:p>
      <w:pPr>
        <w:pStyle w:val="FirstParagraph"/>
      </w:pPr>
      <w:r>
        <w:t xml:space="preserve">To enable interworking, preparation is required for both the oneM2M CSE and the OGC/STA server (see figure 6.3.0-1). As described in Section 6.0, the IPE maps data from an OGC/STA Observation entity to a oneM2M</w:t>
      </w:r>
      <w:r>
        <w:t xml:space="preserve"> </w:t>
      </w:r>
      <w:r>
        <w:rPr>
          <w:rStyle w:val="VerbatimChar"/>
          <w:i/>
          <w:iCs/>
        </w:rPr>
        <w:t xml:space="preserve">&lt;contentInstance&gt;</w:t>
      </w:r>
      <w:r>
        <w:t xml:space="preserve"> </w:t>
      </w:r>
      <w:r>
        <w:t xml:space="preserve">resource and vice versa. The present document defines a 1-to-1 relationship in each direction between the Datastream entity associated with the Observation entity and the</w:t>
      </w:r>
      <w:r>
        <w:t xml:space="preserve"> </w:t>
      </w:r>
      <w:r>
        <w:rPr>
          <w:rStyle w:val="VerbatimChar"/>
          <w:i/>
          <w:iCs/>
        </w:rPr>
        <w:t xml:space="preserve">&lt;container&gt;</w:t>
      </w:r>
      <w:r>
        <w:t xml:space="preserve"> </w:t>
      </w:r>
      <w:r>
        <w:t xml:space="preserve">resource associated with the</w:t>
      </w:r>
      <w:r>
        <w:t xml:space="preserve"> </w:t>
      </w:r>
      <w:r>
        <w:rPr>
          <w:rStyle w:val="VerbatimChar"/>
          <w:i/>
          <w:iCs/>
        </w:rPr>
        <w:t xml:space="preserve">&lt;contentInstance&gt;</w:t>
      </w:r>
      <w:r>
        <w:t xml:space="preserve"> </w:t>
      </w:r>
      <w:r>
        <w:t xml:space="preserve">resource. An IPE may implement multiple 1-to-1 relationships.</w:t>
      </w:r>
    </w:p>
    <w:p>
      <w:pPr>
        <w:pStyle w:val="CaptionedFigure"/>
      </w:pPr>
      <w:r>
        <w:drawing>
          <wp:inline>
            <wp:extent cx="6108700" cy="1295207"/>
            <wp:effectExtent b="0" l="0" r="0" t="0"/>
            <wp:docPr descr="Figure 6.3.0-1: Both sides of the IPE configuration" title="" id="56" name="Picture"/>
            <a:graphic>
              <a:graphicData uri="http://schemas.openxmlformats.org/drawingml/2006/picture">
                <pic:pic>
                  <pic:nvPicPr>
                    <pic:cNvPr descr="./media/config.png" id="57" name="Picture"/>
                    <pic:cNvPicPr>
                      <a:picLocks noChangeArrowheads="1" noChangeAspect="1"/>
                    </pic:cNvPicPr>
                  </pic:nvPicPr>
                  <pic:blipFill>
                    <a:blip r:embed="rId55"/>
                    <a:stretch>
                      <a:fillRect/>
                    </a:stretch>
                  </pic:blipFill>
                  <pic:spPr bwMode="auto">
                    <a:xfrm>
                      <a:off x="0" y="0"/>
                      <a:ext cx="6108700" cy="1295207"/>
                    </a:xfrm>
                    <a:prstGeom prst="rect">
                      <a:avLst/>
                    </a:prstGeom>
                    <a:noFill/>
                    <a:ln w="9525">
                      <a:noFill/>
                      <a:headEnd/>
                      <a:tailEnd/>
                    </a:ln>
                  </pic:spPr>
                </pic:pic>
              </a:graphicData>
            </a:graphic>
          </wp:inline>
        </w:drawing>
      </w:r>
    </w:p>
    <w:p>
      <w:pPr>
        <w:pStyle w:val="ImageCaption"/>
      </w:pPr>
      <w:r>
        <w:t xml:space="preserve">Figure 6.3.0-1: Both sides of the IPE configuration</w:t>
      </w:r>
    </w:p>
    <w:bookmarkEnd w:id="58"/>
    <w:bookmarkStart w:id="68" w:name="configuration-of-ogcsta-server"/>
    <w:p>
      <w:pPr>
        <w:pStyle w:val="Heading3"/>
      </w:pPr>
      <w:r>
        <w:t xml:space="preserve">6.3.1 Configuration of OGC/STA server</w:t>
      </w:r>
    </w:p>
    <w:bookmarkStart w:id="59" w:name="overview-1"/>
    <w:p>
      <w:pPr>
        <w:pStyle w:val="Heading4"/>
      </w:pPr>
      <w:r>
        <w:t xml:space="preserve">6.3.1.0 Overview</w:t>
      </w:r>
    </w:p>
    <w:p>
      <w:pPr>
        <w:pStyle w:val="FirstParagraph"/>
      </w:pPr>
      <w:r>
        <w:t xml:space="preserve">Both directions of the data flow between the OGC/STA server and the IPE require their own configuration steps.</w:t>
      </w:r>
    </w:p>
    <w:bookmarkEnd w:id="59"/>
    <w:bookmarkStart w:id="63" w:name="Xbc3b2d3f17d15cef8ccf6a46767561e165ad0d0"/>
    <w:p>
      <w:pPr>
        <w:pStyle w:val="Heading4"/>
      </w:pPr>
      <w:r>
        <w:t xml:space="preserve">6.3.1.1 Communication direction OGC/STA Server towards IPE</w:t>
      </w:r>
    </w:p>
    <w:p>
      <w:pPr>
        <w:pStyle w:val="FirstParagraph"/>
      </w:pPr>
      <w:r>
        <w:t xml:space="preserve">In figure 6.3.1.1-1, an OGC/STA client is connected to an OGC/STA server, and its data is forwarded to the IPE. The OGC/STA client publishes data to the OGC/STA server via an HTTP-POST message.</w:t>
      </w:r>
    </w:p>
    <w:p>
      <w:pPr>
        <w:pStyle w:val="BodyText"/>
      </w:pPr>
      <w:r>
        <w:t xml:space="preserve">An Observation entity according to the STA Sensing Entities Data Model</w:t>
      </w:r>
      <w:r>
        <w:t xml:space="preserve"> </w:t>
      </w:r>
      <w:r>
        <w:t xml:space="preserve">[1]</w:t>
      </w:r>
      <w:r>
        <w:t xml:space="preserve"> </w:t>
      </w:r>
      <w:r>
        <w:t xml:space="preserve">belongs to a Datastream entity (see figure 5-2). The IPE shall subscribe to the Datastream entity containing the observations to be forwarded to the oneM2M side at the MQTT broker of the OGC/STA server using its specific URL or topic, e.g., {sta-example-server-address.com/v1.0/datastreams(8715)}. Upon successful subscription, the IPE will receive every Observation entity pushed to that Datastream entity.</w:t>
      </w:r>
    </w:p>
    <w:p>
      <w:pPr>
        <w:pStyle w:val="CaptionedFigure"/>
      </w:pPr>
      <w:r>
        <w:drawing>
          <wp:inline>
            <wp:extent cx="5689291" cy="878268"/>
            <wp:effectExtent b="0" l="0" r="0" t="0"/>
            <wp:docPr descr="Figure 6.3.1.1-1: Message flow from OGC/STA client to OGC/STA server to IPE" title="" id="61" name="Picture"/>
            <a:graphic>
              <a:graphicData uri="http://schemas.openxmlformats.org/drawingml/2006/picture">
                <pic:pic>
                  <pic:nvPicPr>
                    <pic:cNvPr descr="./media/config_ogc.png" id="62" name="Picture"/>
                    <pic:cNvPicPr>
                      <a:picLocks noChangeArrowheads="1" noChangeAspect="1"/>
                    </pic:cNvPicPr>
                  </pic:nvPicPr>
                  <pic:blipFill>
                    <a:blip r:embed="rId60"/>
                    <a:stretch>
                      <a:fillRect/>
                    </a:stretch>
                  </pic:blipFill>
                  <pic:spPr bwMode="auto">
                    <a:xfrm>
                      <a:off x="0" y="0"/>
                      <a:ext cx="5689291" cy="878268"/>
                    </a:xfrm>
                    <a:prstGeom prst="rect">
                      <a:avLst/>
                    </a:prstGeom>
                    <a:noFill/>
                    <a:ln w="9525">
                      <a:noFill/>
                      <a:headEnd/>
                      <a:tailEnd/>
                    </a:ln>
                  </pic:spPr>
                </pic:pic>
              </a:graphicData>
            </a:graphic>
          </wp:inline>
        </w:drawing>
      </w:r>
    </w:p>
    <w:p>
      <w:pPr>
        <w:pStyle w:val="ImageCaption"/>
      </w:pPr>
      <w:r>
        <w:t xml:space="preserve">Figure 6.3.1.1-1: Message flow from OGC/STA client to OGC/STA server to IPE</w:t>
      </w:r>
    </w:p>
    <w:bookmarkEnd w:id="63"/>
    <w:bookmarkStart w:id="67" w:name="X0453be452f65c9d23a539b48bdf9f971d17adf6"/>
    <w:p>
      <w:pPr>
        <w:pStyle w:val="Heading4"/>
      </w:pPr>
      <w:r>
        <w:t xml:space="preserve">6.3.1.2 Communication direction IPE towards OGC/STA server</w:t>
      </w:r>
    </w:p>
    <w:p>
      <w:pPr>
        <w:pStyle w:val="FirstParagraph"/>
      </w:pPr>
      <w:r>
        <w:t xml:space="preserve">The IPE requires a destination- Datastream entity to send an Observation entity containing data from the oneM2M side. If no associated Datastream entity exists on the OGC/STA server, it shall be created. This can be done beforehand or at the IPE’s start-up, depending on the implementation.</w:t>
      </w:r>
      <w:r>
        <w:t xml:space="preserve"> </w:t>
      </w:r>
      <w:r>
        <w:t xml:space="preserve">When a Datastream entity is created on the OGC/STA server, a Reference ID (e.g. {</w:t>
      </w:r>
      <w:r>
        <w:t xml:space="preserve">“</w:t>
      </w:r>
      <w:r>
        <w:t xml:space="preserve">@iot.id:3635353</w:t>
      </w:r>
      <w:r>
        <w:t xml:space="preserve">”</w:t>
      </w:r>
      <w:r>
        <w:t xml:space="preserve">}) is returned. This reference is required by the IPE to associate an Observation entity with a Datastream entity and shall be available during IPE operation. In addition to the Datastream entity other entities of the STA Sensing Entities Data Model</w:t>
      </w:r>
      <w:r>
        <w:t xml:space="preserve"> </w:t>
      </w:r>
      <w:r>
        <w:t xml:space="preserve">[1]</w:t>
      </w:r>
      <w:r>
        <w:t xml:space="preserve">, such as Location entity or Sensor entity may be created.</w:t>
      </w:r>
    </w:p>
    <w:p>
      <w:pPr>
        <w:pStyle w:val="BodyText"/>
      </w:pPr>
      <w:r>
        <w:t xml:space="preserve">The creation of entities like Datastream entity and Thing entity requires several mandatory properties that shall be known at configuration time (e.g. the</w:t>
      </w:r>
      <w:r>
        <w:t xml:space="preserve"> </w:t>
      </w:r>
      <w:r>
        <w:rPr>
          <w:i/>
          <w:iCs/>
        </w:rPr>
        <w:t xml:space="preserve">name</w:t>
      </w:r>
      <w:r>
        <w:t xml:space="preserve"> </w:t>
      </w:r>
      <w:r>
        <w:t xml:space="preserve">property and</w:t>
      </w:r>
      <w:r>
        <w:t xml:space="preserve"> </w:t>
      </w:r>
      <w:r>
        <w:rPr>
          <w:i/>
          <w:iCs/>
        </w:rPr>
        <w:t xml:space="preserve">description</w:t>
      </w:r>
      <w:r>
        <w:t xml:space="preserve"> </w:t>
      </w:r>
      <w:r>
        <w:t xml:space="preserve">property). These properties may be automatically derived, for example, from the</w:t>
      </w:r>
      <w:r>
        <w:t xml:space="preserve"> </w:t>
      </w:r>
      <w:r>
        <w:rPr>
          <w:i/>
          <w:iCs/>
        </w:rPr>
        <w:t xml:space="preserve">label</w:t>
      </w:r>
      <w:r>
        <w:t xml:space="preserve"> </w:t>
      </w:r>
      <w:r>
        <w:t xml:space="preserve">attribute or</w:t>
      </w:r>
      <w:r>
        <w:t xml:space="preserve"> </w:t>
      </w:r>
      <w:r>
        <w:rPr>
          <w:i/>
          <w:iCs/>
        </w:rPr>
        <w:t xml:space="preserve">ResourceName</w:t>
      </w:r>
      <w:r>
        <w:t xml:space="preserve"> </w:t>
      </w:r>
      <w:r>
        <w:t xml:space="preserve">attribute of the corresponding oneM2M</w:t>
      </w:r>
      <w:r>
        <w:t xml:space="preserve"> </w:t>
      </w:r>
      <w:r>
        <w:rPr>
          <w:rStyle w:val="VerbatimChar"/>
          <w:i/>
          <w:iCs/>
        </w:rPr>
        <w:t xml:space="preserve">&lt;container&gt;</w:t>
      </w:r>
      <w:r>
        <w:t xml:space="preserve"> </w:t>
      </w:r>
      <w:r>
        <w:t xml:space="preserve">resource or if existing, from the corresponding AE during IPE configuration. The OGC/STA procedures for creating OGC entities are described in SensorThing API documentation</w:t>
      </w:r>
      <w:r>
        <w:t xml:space="preserve"> </w:t>
      </w:r>
      <w:r>
        <w:t xml:space="preserve">[1]</w:t>
      </w:r>
      <w:r>
        <w:t xml:space="preserve">.</w:t>
      </w:r>
    </w:p>
    <w:p>
      <w:pPr>
        <w:pStyle w:val="BodyText"/>
      </w:pPr>
      <w:r>
        <w:t xml:space="preserve">Once the destination Datastream entity is created, the IPE can send an Observation entity to the OGC/STA server as HTTP POST message. An interested OGC/STA client can subscribe to the destination Datastream entity at the MQTT broker of the OGC/STA server to receive each Observation entity forwarded by the IPE (see figure 6.3.1.2-1). Alternatively, the OGC/STA client may use an HTTP-GET request to retrieve the data as needed.</w:t>
      </w:r>
    </w:p>
    <w:p>
      <w:pPr>
        <w:pStyle w:val="CaptionedFigure"/>
      </w:pPr>
      <w:r>
        <w:drawing>
          <wp:inline>
            <wp:extent cx="5689291" cy="1183995"/>
            <wp:effectExtent b="0" l="0" r="0" t="0"/>
            <wp:docPr descr="Figure 6.3.1.2-1: Message flow from IPE to OGC/STA server to OGC/STA client" title="" id="65" name="Picture"/>
            <a:graphic>
              <a:graphicData uri="http://schemas.openxmlformats.org/drawingml/2006/picture">
                <pic:pic>
                  <pic:nvPicPr>
                    <pic:cNvPr descr="./media/config_ogc2.png" id="66" name="Picture"/>
                    <pic:cNvPicPr>
                      <a:picLocks noChangeArrowheads="1" noChangeAspect="1"/>
                    </pic:cNvPicPr>
                  </pic:nvPicPr>
                  <pic:blipFill>
                    <a:blip r:embed="rId64"/>
                    <a:stretch>
                      <a:fillRect/>
                    </a:stretch>
                  </pic:blipFill>
                  <pic:spPr bwMode="auto">
                    <a:xfrm>
                      <a:off x="0" y="0"/>
                      <a:ext cx="5689291" cy="1183995"/>
                    </a:xfrm>
                    <a:prstGeom prst="rect">
                      <a:avLst/>
                    </a:prstGeom>
                    <a:noFill/>
                    <a:ln w="9525">
                      <a:noFill/>
                      <a:headEnd/>
                      <a:tailEnd/>
                    </a:ln>
                  </pic:spPr>
                </pic:pic>
              </a:graphicData>
            </a:graphic>
          </wp:inline>
        </w:drawing>
      </w:r>
    </w:p>
    <w:p>
      <w:pPr>
        <w:pStyle w:val="ImageCaption"/>
      </w:pPr>
      <w:r>
        <w:t xml:space="preserve">Figure 6.3.1.2-1: Message flow from IPE to OGC/STA server to OGC/STA client</w:t>
      </w:r>
    </w:p>
    <w:bookmarkEnd w:id="67"/>
    <w:bookmarkEnd w:id="68"/>
    <w:bookmarkStart w:id="87" w:name="configuration-of-the-onem2m-cse"/>
    <w:p>
      <w:pPr>
        <w:pStyle w:val="Heading3"/>
      </w:pPr>
      <w:r>
        <w:t xml:space="preserve">6.3.2 Configuration of the oneM2M CSE</w:t>
      </w:r>
    </w:p>
    <w:bookmarkStart w:id="72" w:name="general-configuration-aspects"/>
    <w:p>
      <w:pPr>
        <w:pStyle w:val="Heading4"/>
      </w:pPr>
      <w:r>
        <w:t xml:space="preserve">6.3.2.0 General configuration aspects</w:t>
      </w:r>
    </w:p>
    <w:p>
      <w:pPr>
        <w:pStyle w:val="FirstParagraph"/>
      </w:pPr>
      <w:r>
        <w:t xml:space="preserve">The IPE needs to perform configuration steps on the hosting CSE.</w:t>
      </w:r>
    </w:p>
    <w:p>
      <w:pPr>
        <w:pStyle w:val="BodyText"/>
      </w:pPr>
      <w:r>
        <w:t xml:space="preserve">The IPE shall register itself as an Application Entity (AE) that is represented as an</w:t>
      </w:r>
      <w:r>
        <w:t xml:space="preserve"> </w:t>
      </w:r>
      <w:r>
        <w:rPr>
          <w:rStyle w:val="VerbatimChar"/>
          <w:i/>
          <w:iCs/>
        </w:rPr>
        <w:t xml:space="preserve">&lt;AE&gt;</w:t>
      </w:r>
      <w:r>
        <w:t xml:space="preserve"> </w:t>
      </w:r>
      <w:r>
        <w:t xml:space="preserve">resource in a oneM2M resource tree.</w:t>
      </w:r>
    </w:p>
    <w:p>
      <w:pPr>
        <w:pStyle w:val="BodyText"/>
      </w:pPr>
      <w:r>
        <w:t xml:space="preserve">The CSE uses notifications to communicate new events to the IPE (AE). Therefore, the</w:t>
      </w:r>
      <w:r>
        <w:t xml:space="preserve"> </w:t>
      </w:r>
      <w:r>
        <w:rPr>
          <w:rStyle w:val="VerbatimChar"/>
          <w:i/>
          <w:iCs/>
        </w:rPr>
        <w:t xml:space="preserve">&lt;AE&gt;</w:t>
      </w:r>
      <w:r>
        <w:t xml:space="preserve"> </w:t>
      </w:r>
      <w:r>
        <w:t xml:space="preserve">resource shall have the</w:t>
      </w:r>
      <w:r>
        <w:t xml:space="preserve"> </w:t>
      </w:r>
      <w:r>
        <w:rPr>
          <w:i/>
          <w:iCs/>
        </w:rPr>
        <w:t xml:space="preserve">requestReachability</w:t>
      </w:r>
      <w:r>
        <w:t xml:space="preserve"> </w:t>
      </w:r>
      <w:r>
        <w:t xml:space="preserve">(rr) attribute set to</w:t>
      </w:r>
      <w:r>
        <w:t xml:space="preserve"> </w:t>
      </w:r>
      <w:r>
        <w:t xml:space="preserve">‘true’</w:t>
      </w:r>
      <w:r>
        <w:t xml:space="preserve">.</w:t>
      </w:r>
    </w:p>
    <w:p>
      <w:pPr>
        <w:pStyle w:val="BodyText"/>
      </w:pPr>
      <w:r>
        <w:t xml:space="preserve">The</w:t>
      </w:r>
      <w:r>
        <w:t xml:space="preserve"> </w:t>
      </w:r>
      <w:r>
        <w:rPr>
          <w:rStyle w:val="VerbatimChar"/>
          <w:i/>
          <w:iCs/>
        </w:rPr>
        <w:t xml:space="preserve">&lt;AE&gt;</w:t>
      </w:r>
      <w:r>
        <w:t xml:space="preserve"> </w:t>
      </w:r>
      <w:r>
        <w:t xml:space="preserve">resource shall have a</w:t>
      </w:r>
      <w:r>
        <w:t xml:space="preserve"> </w:t>
      </w:r>
      <w:r>
        <w:rPr>
          <w:i/>
          <w:iCs/>
        </w:rPr>
        <w:t xml:space="preserve">pointOfAccess</w:t>
      </w:r>
      <w:r>
        <w:t xml:space="preserve"> </w:t>
      </w:r>
      <w:r>
        <w:t xml:space="preserve">(poa) attribute giving the protocol and address that the IPE is going to use to receive notifications from the CSE.</w:t>
      </w:r>
    </w:p>
    <w:p>
      <w:pPr>
        <w:pStyle w:val="BodyText"/>
      </w:pPr>
      <w:r>
        <w:t xml:space="preserve">The message flow for the creation of an</w:t>
      </w:r>
      <w:r>
        <w:t xml:space="preserve"> </w:t>
      </w:r>
      <w:r>
        <w:rPr>
          <w:rStyle w:val="VerbatimChar"/>
          <w:i/>
          <w:iCs/>
        </w:rPr>
        <w:t xml:space="preserve">&lt;AE&gt;</w:t>
      </w:r>
      <w:r>
        <w:t xml:space="preserve"> </w:t>
      </w:r>
      <w:r>
        <w:t xml:space="preserve">resource is shown in figure 6.3.2.0-1.</w:t>
      </w:r>
    </w:p>
    <w:p>
      <w:pPr>
        <w:numPr>
          <w:ilvl w:val="0"/>
          <w:numId w:val="1004"/>
        </w:numPr>
      </w:pPr>
      <w:r>
        <w:t xml:space="preserve">The IPE requests to register an</w:t>
      </w:r>
      <w:r>
        <w:t xml:space="preserve"> </w:t>
      </w:r>
      <w:r>
        <w:rPr>
          <w:rStyle w:val="VerbatimChar"/>
          <w:i/>
          <w:iCs/>
        </w:rPr>
        <w:t xml:space="preserve">&lt;AE&gt;</w:t>
      </w:r>
      <w:r>
        <w:t xml:space="preserve"> </w:t>
      </w:r>
      <w:r>
        <w:t xml:space="preserve">resource on the hosting CSE.</w:t>
      </w:r>
    </w:p>
    <w:p>
      <w:pPr>
        <w:numPr>
          <w:ilvl w:val="0"/>
          <w:numId w:val="1004"/>
        </w:numPr>
      </w:pPr>
      <w:r>
        <w:t xml:space="preserve">The hosting CSE evaluates the request, performs the appropriate checks, and registers the</w:t>
      </w:r>
      <w:r>
        <w:t xml:space="preserve"> </w:t>
      </w:r>
      <w:r>
        <w:rPr>
          <w:rStyle w:val="VerbatimChar"/>
          <w:i/>
          <w:iCs/>
        </w:rPr>
        <w:t xml:space="preserve">&lt;AE&gt;</w:t>
      </w:r>
      <w:r>
        <w:t xml:space="preserve"> </w:t>
      </w:r>
      <w:r>
        <w:t xml:space="preserve">resource.</w:t>
      </w:r>
    </w:p>
    <w:p>
      <w:pPr>
        <w:numPr>
          <w:ilvl w:val="0"/>
          <w:numId w:val="1004"/>
        </w:numPr>
      </w:pPr>
      <w:r>
        <w:t xml:space="preserve">The hosting CSE responds with a successful result response upon successful creation of the</w:t>
      </w:r>
      <w:r>
        <w:t xml:space="preserve"> </w:t>
      </w:r>
      <w:r>
        <w:rPr>
          <w:rStyle w:val="VerbatimChar"/>
          <w:i/>
          <w:iCs/>
        </w:rPr>
        <w:t xml:space="preserve">&lt;AE&gt;</w:t>
      </w:r>
      <w:r>
        <w:t xml:space="preserve"> </w:t>
      </w:r>
      <w:r>
        <w:t xml:space="preserve">resource. Otherwise, it responds with an error.</w:t>
      </w:r>
    </w:p>
    <w:p>
      <w:pPr>
        <w:pStyle w:val="CaptionedFigure"/>
      </w:pPr>
      <w:r>
        <w:drawing>
          <wp:inline>
            <wp:extent cx="4026433" cy="2074689"/>
            <wp:effectExtent b="0" l="0" r="0" t="0"/>
            <wp:docPr descr="Figure 6.3.2.0-1: Message flow of an &lt;AE&gt; resource creation in oneM2M" title="" id="70" name="Picture"/>
            <a:graphic>
              <a:graphicData uri="http://schemas.openxmlformats.org/drawingml/2006/picture">
                <pic:pic>
                  <pic:nvPicPr>
                    <pic:cNvPr descr="./media/create_ae_flow.png" id="71" name="Picture"/>
                    <pic:cNvPicPr>
                      <a:picLocks noChangeArrowheads="1" noChangeAspect="1"/>
                    </pic:cNvPicPr>
                  </pic:nvPicPr>
                  <pic:blipFill>
                    <a:blip r:embed="rId69"/>
                    <a:stretch>
                      <a:fillRect/>
                    </a:stretch>
                  </pic:blipFill>
                  <pic:spPr bwMode="auto">
                    <a:xfrm>
                      <a:off x="0" y="0"/>
                      <a:ext cx="4026433" cy="2074689"/>
                    </a:xfrm>
                    <a:prstGeom prst="rect">
                      <a:avLst/>
                    </a:prstGeom>
                    <a:noFill/>
                    <a:ln w="9525">
                      <a:noFill/>
                      <a:headEnd/>
                      <a:tailEnd/>
                    </a:ln>
                  </pic:spPr>
                </pic:pic>
              </a:graphicData>
            </a:graphic>
          </wp:inline>
        </w:drawing>
      </w:r>
    </w:p>
    <w:p>
      <w:pPr>
        <w:pStyle w:val="ImageCaption"/>
      </w:pPr>
      <w:r>
        <w:t xml:space="preserve">Figure 6.3.2.0-1: Message flow of an</w:t>
      </w:r>
      <w:r>
        <w:t xml:space="preserve"> </w:t>
      </w:r>
      <w:r>
        <w:rPr>
          <w:rStyle w:val="VerbatimChar"/>
          <w:i/>
          <w:iCs/>
        </w:rPr>
        <w:t xml:space="preserve">&lt;AE&gt;</w:t>
      </w:r>
      <w:r>
        <w:t xml:space="preserve"> </w:t>
      </w:r>
      <w:r>
        <w:t xml:space="preserve">resource creation in oneM2M</w:t>
      </w:r>
    </w:p>
    <w:bookmarkEnd w:id="72"/>
    <w:bookmarkStart w:id="82" w:name="X48adffedc2410e0eb9b535a3d533068faa8ae7b"/>
    <w:p>
      <w:pPr>
        <w:pStyle w:val="Heading4"/>
      </w:pPr>
      <w:r>
        <w:t xml:space="preserve">6.3.2.1 Communication direction oneM2M CSE towards IPE</w:t>
      </w:r>
    </w:p>
    <w:p>
      <w:pPr>
        <w:pStyle w:val="FirstParagraph"/>
      </w:pPr>
      <w:r>
        <w:t xml:space="preserve">Two</w:t>
      </w:r>
      <w:r>
        <w:t xml:space="preserve"> </w:t>
      </w:r>
      <w:r>
        <w:rPr>
          <w:rStyle w:val="VerbatimChar"/>
          <w:i/>
          <w:iCs/>
        </w:rPr>
        <w:t xml:space="preserve">&lt;container&gt;</w:t>
      </w:r>
      <w:r>
        <w:t xml:space="preserve"> </w:t>
      </w:r>
      <w:r>
        <w:t xml:space="preserve">resources are required in the CSE for the operation of the IPE, one for outgoing data and one for incoming data.</w:t>
      </w:r>
      <w:r>
        <w:t xml:space="preserve"> </w:t>
      </w:r>
      <w:r>
        <w:t xml:space="preserve">The</w:t>
      </w:r>
      <w:r>
        <w:t xml:space="preserve"> </w:t>
      </w:r>
      <w:r>
        <w:rPr>
          <w:rStyle w:val="VerbatimChar"/>
          <w:i/>
          <w:iCs/>
        </w:rPr>
        <w:t xml:space="preserve">&lt;container&gt;</w:t>
      </w:r>
      <w:r>
        <w:t xml:space="preserve"> </w:t>
      </w:r>
      <w:r>
        <w:t xml:space="preserve">resource that is appointed to hold the data to be forwarded to the OGC/STA side (outgoing data) has to be created, if not already existing.</w:t>
      </w:r>
    </w:p>
    <w:p>
      <w:pPr>
        <w:pStyle w:val="BodyText"/>
      </w:pPr>
      <w:r>
        <w:t xml:space="preserve">The message flow for the creation of a</w:t>
      </w:r>
      <w:r>
        <w:t xml:space="preserve"> </w:t>
      </w:r>
      <w:r>
        <w:rPr>
          <w:rStyle w:val="VerbatimChar"/>
          <w:i/>
          <w:iCs/>
        </w:rPr>
        <w:t xml:space="preserve">&lt;container&gt;</w:t>
      </w:r>
      <w:r>
        <w:t xml:space="preserve"> </w:t>
      </w:r>
      <w:r>
        <w:t xml:space="preserve">resource is shown in figure 6.3.2.1-1.</w:t>
      </w:r>
    </w:p>
    <w:p>
      <w:pPr>
        <w:numPr>
          <w:ilvl w:val="0"/>
          <w:numId w:val="1005"/>
        </w:numPr>
      </w:pPr>
      <w:r>
        <w:t xml:space="preserve">The IPE sends a request to create a</w:t>
      </w:r>
      <w:r>
        <w:t xml:space="preserve"> </w:t>
      </w:r>
      <w:r>
        <w:rPr>
          <w:rStyle w:val="VerbatimChar"/>
          <w:i/>
          <w:iCs/>
        </w:rPr>
        <w:t xml:space="preserve">&lt;container&gt;</w:t>
      </w:r>
      <w:r>
        <w:t xml:space="preserve"> </w:t>
      </w:r>
      <w:r>
        <w:t xml:space="preserve">resource.</w:t>
      </w:r>
    </w:p>
    <w:p>
      <w:pPr>
        <w:numPr>
          <w:ilvl w:val="0"/>
          <w:numId w:val="1005"/>
        </w:numPr>
      </w:pPr>
      <w:r>
        <w:t xml:space="preserve">The hosting CSE evaluates the request, performs the appropriate checks, and creates the</w:t>
      </w:r>
      <w:r>
        <w:t xml:space="preserve"> </w:t>
      </w:r>
      <w:r>
        <w:rPr>
          <w:rStyle w:val="VerbatimChar"/>
          <w:i/>
          <w:iCs/>
        </w:rPr>
        <w:t xml:space="preserve">&lt;container&gt;</w:t>
      </w:r>
      <w:r>
        <w:t xml:space="preserve"> </w:t>
      </w:r>
      <w:r>
        <w:t xml:space="preserve">resource.</w:t>
      </w:r>
    </w:p>
    <w:p>
      <w:pPr>
        <w:numPr>
          <w:ilvl w:val="0"/>
          <w:numId w:val="1005"/>
        </w:numPr>
      </w:pPr>
      <w:r>
        <w:t xml:space="preserve">The hosting CSE responds with a successful result response upon successful creation of the</w:t>
      </w:r>
      <w:r>
        <w:t xml:space="preserve"> </w:t>
      </w:r>
      <w:r>
        <w:rPr>
          <w:rStyle w:val="VerbatimChar"/>
          <w:i/>
          <w:iCs/>
        </w:rPr>
        <w:t xml:space="preserve">&lt;container&gt;</w:t>
      </w:r>
      <w:r>
        <w:t xml:space="preserve"> </w:t>
      </w:r>
      <w:r>
        <w:t xml:space="preserve">resource. Otherwise, it responds with an error.</w:t>
      </w:r>
    </w:p>
    <w:p>
      <w:pPr>
        <w:pStyle w:val="CaptionedFigure"/>
      </w:pPr>
      <w:r>
        <w:drawing>
          <wp:inline>
            <wp:extent cx="4479791" cy="2289842"/>
            <wp:effectExtent b="0" l="0" r="0" t="0"/>
            <wp:docPr descr="Figure 6.3.2.1-1: Message flow of an &lt;container&gt; resource creation in oneM2M" title="" id="74" name="Picture"/>
            <a:graphic>
              <a:graphicData uri="http://schemas.openxmlformats.org/drawingml/2006/picture">
                <pic:pic>
                  <pic:nvPicPr>
                    <pic:cNvPr descr="./media/create_container_flow.png" id="75" name="Picture"/>
                    <pic:cNvPicPr>
                      <a:picLocks noChangeArrowheads="1" noChangeAspect="1"/>
                    </pic:cNvPicPr>
                  </pic:nvPicPr>
                  <pic:blipFill>
                    <a:blip r:embed="rId73"/>
                    <a:stretch>
                      <a:fillRect/>
                    </a:stretch>
                  </pic:blipFill>
                  <pic:spPr bwMode="auto">
                    <a:xfrm>
                      <a:off x="0" y="0"/>
                      <a:ext cx="4479791" cy="2289842"/>
                    </a:xfrm>
                    <a:prstGeom prst="rect">
                      <a:avLst/>
                    </a:prstGeom>
                    <a:noFill/>
                    <a:ln w="9525">
                      <a:noFill/>
                      <a:headEnd/>
                      <a:tailEnd/>
                    </a:ln>
                  </pic:spPr>
                </pic:pic>
              </a:graphicData>
            </a:graphic>
          </wp:inline>
        </w:drawing>
      </w:r>
    </w:p>
    <w:p>
      <w:pPr>
        <w:pStyle w:val="ImageCaption"/>
      </w:pPr>
      <w:r>
        <w:t xml:space="preserve">Figure 6.3.2.1-1: Message flow of an</w:t>
      </w:r>
      <w:r>
        <w:t xml:space="preserve"> </w:t>
      </w:r>
      <w:r>
        <w:rPr>
          <w:rStyle w:val="VerbatimChar"/>
          <w:i/>
          <w:iCs/>
        </w:rPr>
        <w:t xml:space="preserve">&lt;container&gt;</w:t>
      </w:r>
      <w:r>
        <w:t xml:space="preserve"> </w:t>
      </w:r>
      <w:r>
        <w:t xml:space="preserve">resource creation in oneM2M</w:t>
      </w:r>
    </w:p>
    <w:p>
      <w:pPr>
        <w:pStyle w:val="BodyText"/>
      </w:pPr>
      <w:r>
        <w:t xml:space="preserve">A</w:t>
      </w:r>
      <w:r>
        <w:t xml:space="preserve"> </w:t>
      </w:r>
      <w:r>
        <w:rPr>
          <w:rStyle w:val="VerbatimChar"/>
          <w:i/>
          <w:iCs/>
        </w:rPr>
        <w:t xml:space="preserve">&lt;subscription&gt;</w:t>
      </w:r>
      <w:r>
        <w:t xml:space="preserve"> </w:t>
      </w:r>
      <w:r>
        <w:t xml:space="preserve">resource shall be created under this</w:t>
      </w:r>
      <w:r>
        <w:t xml:space="preserve"> </w:t>
      </w:r>
      <w:r>
        <w:rPr>
          <w:rStyle w:val="VerbatimChar"/>
          <w:i/>
          <w:iCs/>
        </w:rPr>
        <w:t xml:space="preserve">&lt;container&gt;</w:t>
      </w:r>
      <w:r>
        <w:t xml:space="preserve"> </w:t>
      </w:r>
      <w:r>
        <w:t xml:space="preserve">resource.</w:t>
      </w:r>
    </w:p>
    <w:p>
      <w:pPr>
        <w:pStyle w:val="BodyText"/>
      </w:pPr>
      <w:r>
        <w:t xml:space="preserve">The</w:t>
      </w:r>
      <w:r>
        <w:t xml:space="preserve"> </w:t>
      </w:r>
      <w:r>
        <w:rPr>
          <w:rStyle w:val="VerbatimChar"/>
          <w:i/>
          <w:iCs/>
        </w:rPr>
        <w:t xml:space="preserve">&lt;subscription&gt;</w:t>
      </w:r>
      <w:r>
        <w:t xml:space="preserve"> </w:t>
      </w:r>
      <w:r>
        <w:t xml:space="preserve">resource shall have the</w:t>
      </w:r>
      <w:r>
        <w:t xml:space="preserve"> </w:t>
      </w:r>
      <w:r>
        <w:rPr>
          <w:i/>
          <w:iCs/>
        </w:rPr>
        <w:t xml:space="preserve">notificationURI</w:t>
      </w:r>
      <w:r>
        <w:t xml:space="preserve"> </w:t>
      </w:r>
      <w:r>
        <w:t xml:space="preserve">attribute set to the</w:t>
      </w:r>
      <w:r>
        <w:t xml:space="preserve"> </w:t>
      </w:r>
      <w:r>
        <w:rPr>
          <w:i/>
          <w:iCs/>
        </w:rPr>
        <w:t xml:space="preserve">resourceID</w:t>
      </w:r>
      <w:r>
        <w:t xml:space="preserve"> </w:t>
      </w:r>
      <w:r>
        <w:t xml:space="preserve">attribute of the</w:t>
      </w:r>
      <w:r>
        <w:t xml:space="preserve"> </w:t>
      </w:r>
      <w:r>
        <w:rPr>
          <w:rStyle w:val="VerbatimChar"/>
          <w:i/>
          <w:iCs/>
        </w:rPr>
        <w:t xml:space="preserve">&lt;AE&gt;</w:t>
      </w:r>
      <w:r>
        <w:t xml:space="preserve"> </w:t>
      </w:r>
      <w:r>
        <w:t xml:space="preserve">resource.</w:t>
      </w:r>
    </w:p>
    <w:p>
      <w:pPr>
        <w:pStyle w:val="BodyText"/>
      </w:pPr>
      <w:r>
        <w:t xml:space="preserve">The message flow for the creation of an</w:t>
      </w:r>
      <w:r>
        <w:t xml:space="preserve"> </w:t>
      </w:r>
      <w:r>
        <w:rPr>
          <w:rStyle w:val="VerbatimChar"/>
          <w:i/>
          <w:iCs/>
        </w:rPr>
        <w:t xml:space="preserve">&lt;subscription&gt;</w:t>
      </w:r>
      <w:r>
        <w:t xml:space="preserve"> </w:t>
      </w:r>
      <w:r>
        <w:t xml:space="preserve">resource is shown in figure 6.3.2.1-2.</w:t>
      </w:r>
      <w:r>
        <w:t xml:space="preserve"> </w:t>
      </w:r>
      <w:r>
        <w:t xml:space="preserve">1) The IPE sends a creation request for a</w:t>
      </w:r>
      <w:r>
        <w:t xml:space="preserve"> </w:t>
      </w:r>
      <w:r>
        <w:rPr>
          <w:rStyle w:val="VerbatimChar"/>
          <w:i/>
          <w:iCs/>
        </w:rPr>
        <w:t xml:space="preserve">&lt;subscription&gt;</w:t>
      </w:r>
      <w:r>
        <w:t xml:space="preserve"> </w:t>
      </w:r>
      <w:r>
        <w:t xml:space="preserve">resource to the</w:t>
      </w:r>
      <w:r>
        <w:t xml:space="preserve"> </w:t>
      </w:r>
      <w:r>
        <w:rPr>
          <w:rStyle w:val="VerbatimChar"/>
          <w:i/>
          <w:iCs/>
        </w:rPr>
        <w:t xml:space="preserve">&lt;container&gt;</w:t>
      </w:r>
      <w:r>
        <w:t xml:space="preserve"> </w:t>
      </w:r>
      <w:r>
        <w:t xml:space="preserve">resource that is appointed to hold the data to be forwarded to the OGC/STA side.</w:t>
      </w:r>
      <w:r>
        <w:t xml:space="preserve"> </w:t>
      </w:r>
      <w:r>
        <w:t xml:space="preserve">2) The hosting CSE evaluates the request and performs the appropriate checks and creates the</w:t>
      </w:r>
      <w:r>
        <w:t xml:space="preserve"> </w:t>
      </w:r>
      <w:r>
        <w:rPr>
          <w:rStyle w:val="VerbatimChar"/>
          <w:i/>
          <w:iCs/>
        </w:rPr>
        <w:t xml:space="preserve">&lt;subscription&gt;</w:t>
      </w:r>
      <w:r>
        <w:t xml:space="preserve"> </w:t>
      </w:r>
      <w:r>
        <w:t xml:space="preserve">resource.</w:t>
      </w:r>
      <w:r>
        <w:t xml:space="preserve"> </w:t>
      </w:r>
      <w:r>
        <w:t xml:space="preserve">3) The hosting CSE responds with a successful result response upon the successful creation of the</w:t>
      </w:r>
      <w:r>
        <w:t xml:space="preserve"> </w:t>
      </w:r>
      <w:r>
        <w:rPr>
          <w:rStyle w:val="VerbatimChar"/>
          <w:i/>
          <w:iCs/>
        </w:rPr>
        <w:t xml:space="preserve">&lt;subscription&gt;</w:t>
      </w:r>
      <w:r>
        <w:t xml:space="preserve"> </w:t>
      </w:r>
      <w:r>
        <w:t xml:space="preserve">resource. Otherwise, it responds with an error.</w:t>
      </w:r>
    </w:p>
    <w:p>
      <w:pPr>
        <w:pStyle w:val="CaptionedFigure"/>
      </w:pPr>
      <w:r>
        <w:drawing>
          <wp:inline>
            <wp:extent cx="4510527" cy="2289842"/>
            <wp:effectExtent b="0" l="0" r="0" t="0"/>
            <wp:docPr descr="Figure 6.3.2.1-2: Message flow of an &lt;subscription&gt; resource creation in oneM2M" title="" id="77" name="Picture"/>
            <a:graphic>
              <a:graphicData uri="http://schemas.openxmlformats.org/drawingml/2006/picture">
                <pic:pic>
                  <pic:nvPicPr>
                    <pic:cNvPr descr="./media/create_subscription_flow1.png" id="78" name="Picture"/>
                    <pic:cNvPicPr>
                      <a:picLocks noChangeArrowheads="1" noChangeAspect="1"/>
                    </pic:cNvPicPr>
                  </pic:nvPicPr>
                  <pic:blipFill>
                    <a:blip r:embed="rId76"/>
                    <a:stretch>
                      <a:fillRect/>
                    </a:stretch>
                  </pic:blipFill>
                  <pic:spPr bwMode="auto">
                    <a:xfrm>
                      <a:off x="0" y="0"/>
                      <a:ext cx="4510527" cy="2289842"/>
                    </a:xfrm>
                    <a:prstGeom prst="rect">
                      <a:avLst/>
                    </a:prstGeom>
                    <a:noFill/>
                    <a:ln w="9525">
                      <a:noFill/>
                      <a:headEnd/>
                      <a:tailEnd/>
                    </a:ln>
                  </pic:spPr>
                </pic:pic>
              </a:graphicData>
            </a:graphic>
          </wp:inline>
        </w:drawing>
      </w:r>
    </w:p>
    <w:p>
      <w:pPr>
        <w:pStyle w:val="ImageCaption"/>
      </w:pPr>
      <w:r>
        <w:t xml:space="preserve">Figure 6.3.2.1-2: Message flow of an</w:t>
      </w:r>
      <w:r>
        <w:t xml:space="preserve"> </w:t>
      </w:r>
      <w:r>
        <w:rPr>
          <w:rStyle w:val="VerbatimChar"/>
          <w:i/>
          <w:iCs/>
        </w:rPr>
        <w:t xml:space="preserve">&lt;subscription&gt;</w:t>
      </w:r>
      <w:r>
        <w:t xml:space="preserve"> </w:t>
      </w:r>
      <w:r>
        <w:t xml:space="preserve">resource creation in oneM2M</w:t>
      </w:r>
    </w:p>
    <w:p>
      <w:pPr>
        <w:pStyle w:val="BodyText"/>
      </w:pPr>
      <w:r>
        <w:t xml:space="preserve">The CSE is now prepared to send data from oneM2M to OGC / STA via the IPE. As shown in figure 6.3.2.1-3, a oneM2M Application Entity (AE), triggered by a sensor, sends data to the CSE by creating a</w:t>
      </w:r>
      <w:r>
        <w:t xml:space="preserve"> </w:t>
      </w:r>
      <w:r>
        <w:rPr>
          <w:rStyle w:val="VerbatimChar"/>
          <w:i/>
          <w:iCs/>
        </w:rPr>
        <w:t xml:space="preserve">&lt;contentInstance&gt;</w:t>
      </w:r>
      <w:r>
        <w:t xml:space="preserve"> </w:t>
      </w:r>
      <w:r>
        <w:t xml:space="preserve">resource under the</w:t>
      </w:r>
      <w:r>
        <w:t xml:space="preserve"> </w:t>
      </w:r>
      <w:r>
        <w:rPr>
          <w:rStyle w:val="VerbatimChar"/>
          <w:i/>
          <w:iCs/>
        </w:rPr>
        <w:t xml:space="preserve">&lt;container&gt;</w:t>
      </w:r>
      <w:r>
        <w:t xml:space="preserve"> </w:t>
      </w:r>
      <w:r>
        <w:t xml:space="preserve">resource that was appointed for outgoing data.</w:t>
      </w:r>
      <w:r>
        <w:t xml:space="preserve"> </w:t>
      </w:r>
      <w:r>
        <w:t xml:space="preserve">Since the IPE has subscribed to this</w:t>
      </w:r>
      <w:r>
        <w:t xml:space="preserve"> </w:t>
      </w:r>
      <w:r>
        <w:rPr>
          <w:rStyle w:val="VerbatimChar"/>
          <w:i/>
          <w:iCs/>
        </w:rPr>
        <w:t xml:space="preserve">&lt;container&gt;</w:t>
      </w:r>
      <w:r>
        <w:t xml:space="preserve"> </w:t>
      </w:r>
      <w:r>
        <w:t xml:space="preserve">resource it receives a notification message along with all attributes of the</w:t>
      </w:r>
      <w:r>
        <w:t xml:space="preserve"> </w:t>
      </w:r>
      <w:r>
        <w:rPr>
          <w:rStyle w:val="VerbatimChar"/>
          <w:i/>
          <w:iCs/>
        </w:rPr>
        <w:t xml:space="preserve">&lt;contentInstance&gt;</w:t>
      </w:r>
      <w:r>
        <w:t xml:space="preserve"> </w:t>
      </w:r>
      <w:r>
        <w:t xml:space="preserve">resource when new data arrives. The IPE maps the data from oneM2M to OGC / STA as described in 6.1 .</w:t>
      </w:r>
    </w:p>
    <w:p>
      <w:pPr>
        <w:pStyle w:val="CaptionedFigure"/>
      </w:pPr>
      <w:r>
        <w:drawing>
          <wp:inline>
            <wp:extent cx="5689291" cy="931075"/>
            <wp:effectExtent b="0" l="0" r="0" t="0"/>
            <wp:docPr descr="Figure 6.3.2.1-3: Message flow from AE to CSE to IPE" title="" id="80" name="Picture"/>
            <a:graphic>
              <a:graphicData uri="http://schemas.openxmlformats.org/drawingml/2006/picture">
                <pic:pic>
                  <pic:nvPicPr>
                    <pic:cNvPr descr="./media/config_cse1.png" id="81" name="Picture"/>
                    <pic:cNvPicPr>
                      <a:picLocks noChangeArrowheads="1" noChangeAspect="1"/>
                    </pic:cNvPicPr>
                  </pic:nvPicPr>
                  <pic:blipFill>
                    <a:blip r:embed="rId79"/>
                    <a:stretch>
                      <a:fillRect/>
                    </a:stretch>
                  </pic:blipFill>
                  <pic:spPr bwMode="auto">
                    <a:xfrm>
                      <a:off x="0" y="0"/>
                      <a:ext cx="5689291" cy="931075"/>
                    </a:xfrm>
                    <a:prstGeom prst="rect">
                      <a:avLst/>
                    </a:prstGeom>
                    <a:noFill/>
                    <a:ln w="9525">
                      <a:noFill/>
                      <a:headEnd/>
                      <a:tailEnd/>
                    </a:ln>
                  </pic:spPr>
                </pic:pic>
              </a:graphicData>
            </a:graphic>
          </wp:inline>
        </w:drawing>
      </w:r>
    </w:p>
    <w:p>
      <w:pPr>
        <w:pStyle w:val="ImageCaption"/>
      </w:pPr>
      <w:r>
        <w:t xml:space="preserve">Figure 6.3.2.1-3: Message flow from AE to CSE to IPE</w:t>
      </w:r>
    </w:p>
    <w:bookmarkEnd w:id="82"/>
    <w:bookmarkStart w:id="86" w:name="X22743badcb57e18f9099c90432b994ad4e35f87"/>
    <w:p>
      <w:pPr>
        <w:pStyle w:val="Heading4"/>
      </w:pPr>
      <w:r>
        <w:t xml:space="preserve">6.3.2.2 Communication direction IPE towards oneM2M CSE</w:t>
      </w:r>
    </w:p>
    <w:p>
      <w:pPr>
        <w:pStyle w:val="FirstParagraph"/>
      </w:pPr>
      <w:r>
        <w:t xml:space="preserve">The</w:t>
      </w:r>
      <w:r>
        <w:t xml:space="preserve"> </w:t>
      </w:r>
      <w:r>
        <w:rPr>
          <w:rStyle w:val="VerbatimChar"/>
          <w:i/>
          <w:iCs/>
        </w:rPr>
        <w:t xml:space="preserve">&lt;container&gt;</w:t>
      </w:r>
      <w:r>
        <w:t xml:space="preserve"> </w:t>
      </w:r>
      <w:r>
        <w:t xml:space="preserve">resource that is appointed to hold the data from the OGC/STA side (incoming data) has to be created, if not already existing.</w:t>
      </w:r>
      <w:r>
        <w:t xml:space="preserve"> </w:t>
      </w:r>
      <w:r>
        <w:t xml:space="preserve">The message flow for the creation of a</w:t>
      </w:r>
      <w:r>
        <w:t xml:space="preserve"> </w:t>
      </w:r>
      <w:r>
        <w:rPr>
          <w:rStyle w:val="VerbatimChar"/>
          <w:i/>
          <w:iCs/>
        </w:rPr>
        <w:t xml:space="preserve">&lt;container&gt;</w:t>
      </w:r>
      <w:r>
        <w:t xml:space="preserve"> </w:t>
      </w:r>
      <w:r>
        <w:t xml:space="preserve">resource is shown in figure 6.3.2.1-1.</w:t>
      </w:r>
    </w:p>
    <w:p>
      <w:pPr>
        <w:pStyle w:val="BodyText"/>
      </w:pPr>
      <w:r>
        <w:t xml:space="preserve">The CSE is now prepared to receive data from OGC / STA via the IPE. The IPE sends data as</w:t>
      </w:r>
      <w:r>
        <w:t xml:space="preserve"> </w:t>
      </w:r>
      <w:r>
        <w:rPr>
          <w:rStyle w:val="VerbatimChar"/>
          <w:i/>
          <w:iCs/>
        </w:rPr>
        <w:t xml:space="preserve">&lt;contentInstance&gt;</w:t>
      </w:r>
      <w:r>
        <w:t xml:space="preserve"> </w:t>
      </w:r>
      <w:r>
        <w:t xml:space="preserve">resources to the dedicated</w:t>
      </w:r>
      <w:r>
        <w:t xml:space="preserve"> </w:t>
      </w:r>
      <w:r>
        <w:rPr>
          <w:rStyle w:val="VerbatimChar"/>
          <w:i/>
          <w:iCs/>
        </w:rPr>
        <w:t xml:space="preserve">&lt;container&gt;</w:t>
      </w:r>
      <w:r>
        <w:t xml:space="preserve"> </w:t>
      </w:r>
      <w:r>
        <w:t xml:space="preserve">resource. If other oneM2M Application Entities are interested in this data, they may subscribe to the dedicated</w:t>
      </w:r>
      <w:r>
        <w:t xml:space="preserve"> </w:t>
      </w:r>
      <w:r>
        <w:rPr>
          <w:rStyle w:val="VerbatimChar"/>
          <w:i/>
          <w:iCs/>
        </w:rPr>
        <w:t xml:space="preserve">&lt;container&gt;</w:t>
      </w:r>
      <w:r>
        <w:t xml:space="preserve"> </w:t>
      </w:r>
      <w:r>
        <w:t xml:space="preserve">resource. Alternatively, they can retrieve</w:t>
      </w:r>
      <w:r>
        <w:t xml:space="preserve"> </w:t>
      </w:r>
      <w:r>
        <w:rPr>
          <w:rStyle w:val="VerbatimChar"/>
          <w:i/>
          <w:iCs/>
        </w:rPr>
        <w:t xml:space="preserve">&lt;contentInstance&gt;</w:t>
      </w:r>
      <w:r>
        <w:t xml:space="preserve"> </w:t>
      </w:r>
      <w:r>
        <w:t xml:space="preserve">resources from it in polling mode.</w:t>
      </w:r>
    </w:p>
    <w:p>
      <w:pPr>
        <w:pStyle w:val="BodyText"/>
      </w:pPr>
      <w:r>
        <w:t xml:space="preserve">In figure 6.3.2.2-1, the IPE (AE) sends data as</w:t>
      </w:r>
      <w:r>
        <w:t xml:space="preserve"> </w:t>
      </w:r>
      <w:r>
        <w:rPr>
          <w:rStyle w:val="VerbatimChar"/>
          <w:i/>
          <w:iCs/>
        </w:rPr>
        <w:t xml:space="preserve">&lt;contentInstance&gt;</w:t>
      </w:r>
      <w:r>
        <w:t xml:space="preserve"> </w:t>
      </w:r>
      <w:r>
        <w:t xml:space="preserve">resources to the dedicated</w:t>
      </w:r>
      <w:r>
        <w:t xml:space="preserve"> </w:t>
      </w:r>
      <w:r>
        <w:rPr>
          <w:rStyle w:val="VerbatimChar"/>
          <w:i/>
          <w:iCs/>
        </w:rPr>
        <w:t xml:space="preserve">&lt;container&gt;</w:t>
      </w:r>
      <w:r>
        <w:t xml:space="preserve"> </w:t>
      </w:r>
      <w:r>
        <w:t xml:space="preserve">resource. Subsequently, the AE receives a notification along with data contained in a</w:t>
      </w:r>
      <w:r>
        <w:t xml:space="preserve"> </w:t>
      </w:r>
      <w:r>
        <w:rPr>
          <w:rStyle w:val="VerbatimChar"/>
          <w:i/>
          <w:iCs/>
        </w:rPr>
        <w:t xml:space="preserve">&lt;contentInstance&gt;</w:t>
      </w:r>
      <w:r>
        <w:t xml:space="preserve"> </w:t>
      </w:r>
      <w:r>
        <w:t xml:space="preserve">resource every time when the IPE creates new data.</w:t>
      </w:r>
    </w:p>
    <w:p>
      <w:pPr>
        <w:pStyle w:val="CaptionedFigure"/>
      </w:pPr>
      <w:r>
        <w:drawing>
          <wp:inline>
            <wp:extent cx="5686511" cy="922737"/>
            <wp:effectExtent b="0" l="0" r="0" t="0"/>
            <wp:docPr descr="Figure 6.3.2.2-1: Data message flow from IPE to CSE to AE" title="" id="84" name="Picture"/>
            <a:graphic>
              <a:graphicData uri="http://schemas.openxmlformats.org/drawingml/2006/picture">
                <pic:pic>
                  <pic:nvPicPr>
                    <pic:cNvPr descr="./media/config_cse23.png" id="85" name="Picture"/>
                    <pic:cNvPicPr>
                      <a:picLocks noChangeArrowheads="1" noChangeAspect="1"/>
                    </pic:cNvPicPr>
                  </pic:nvPicPr>
                  <pic:blipFill>
                    <a:blip r:embed="rId83"/>
                    <a:stretch>
                      <a:fillRect/>
                    </a:stretch>
                  </pic:blipFill>
                  <pic:spPr bwMode="auto">
                    <a:xfrm>
                      <a:off x="0" y="0"/>
                      <a:ext cx="5686511" cy="922737"/>
                    </a:xfrm>
                    <a:prstGeom prst="rect">
                      <a:avLst/>
                    </a:prstGeom>
                    <a:noFill/>
                    <a:ln w="9525">
                      <a:noFill/>
                      <a:headEnd/>
                      <a:tailEnd/>
                    </a:ln>
                  </pic:spPr>
                </pic:pic>
              </a:graphicData>
            </a:graphic>
          </wp:inline>
        </w:drawing>
      </w:r>
    </w:p>
    <w:p>
      <w:pPr>
        <w:pStyle w:val="ImageCaption"/>
      </w:pPr>
      <w:r>
        <w:t xml:space="preserve">Figure 6.3.2.2-1: Data message flow from IPE to CSE to AE</w:t>
      </w:r>
    </w:p>
    <w:bookmarkEnd w:id="86"/>
    <w:bookmarkEnd w:id="87"/>
    <w:bookmarkEnd w:id="88"/>
    <w:bookmarkEnd w:id="89"/>
    <w:bookmarkStart w:id="90" w:name="history"/>
    <w:p>
      <w:pPr>
        <w:pStyle w:val="Heading1"/>
      </w:pPr>
      <w:r>
        <w:t xml:space="preserve">History</w:t>
      </w:r>
    </w:p>
    <w:p>
      <w:pPr>
        <w:pStyle w:val="FirstParagraph"/>
      </w:pPr>
      <w:r>
        <w:t xml:space="preserve">This clause shall be the last one in the document and list the main phases (all additional information will be removed at the publication stage).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Publication history</w:t>
            </w:r>
          </w:p>
        </w:tc>
        <w:tc>
          <w:tcPr/>
          <w:p>
            <w:pPr>
              <w:pStyle w:val="Compact"/>
            </w:pPr>
            <w:r>
              <w:t xml:space="preserve">Publication history</w:t>
            </w:r>
          </w:p>
        </w:tc>
        <w:tc>
          <w:tcPr/>
          <w:p>
            <w:pPr>
              <w:pStyle w:val="Compact"/>
            </w:pPr>
            <w:r>
              <w:t xml:space="preserve">Publication history</w:t>
            </w:r>
          </w:p>
        </w:tc>
      </w:tr>
      <w:tr>
        <w:tc>
          <w:tcPr/>
          <w:p>
            <w:pPr>
              <w:pStyle w:val="Compact"/>
            </w:pPr>
            <w:r>
              <w:t xml:space="preserve">V1.x.x</w:t>
            </w:r>
          </w:p>
        </w:tc>
        <w:tc>
          <w:tcPr/>
          <w:p>
            <w:pPr>
              <w:pStyle w:val="Compact"/>
            </w:pPr>
            <w:r>
              <w:t xml:space="preserve">&lt;yyyy-mm-dd &gt;</w:t>
            </w:r>
          </w:p>
        </w:tc>
        <w:tc>
          <w:tcPr/>
          <w:p>
            <w:pPr>
              <w:pStyle w:val="Compact"/>
            </w:pPr>
            <w:r>
              <w:t xml:space="preserve">&lt;Milestone&gt;</w:t>
            </w: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r>
        <w:tc>
          <w:tcPr/>
          <w:p>
            <w:pPr>
              <w:pStyle w:val="Compact"/>
            </w:pPr>
          </w:p>
        </w:tc>
        <w:tc>
          <w:tcPr/>
          <w:p>
            <w:pPr>
              <w:pStyle w:val="Compact"/>
            </w:pPr>
          </w:p>
        </w:tc>
        <w:tc>
          <w:tcPr/>
          <w:p>
            <w:pPr>
              <w:pStyle w:val="Compact"/>
            </w:pPr>
          </w:p>
        </w:tc>
      </w:tr>
    </w:tbl>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t xml:space="preserve">Version (to be removed on publication)</w:t>
            </w:r>
          </w:p>
        </w:tc>
        <w:tc>
          <w:tcPr/>
          <w:p>
            <w:pPr>
              <w:pStyle w:val="Compact"/>
            </w:pPr>
            <w:r>
              <w:t xml:space="preserve">Date (to be removed on publication)</w:t>
            </w:r>
          </w:p>
        </w:tc>
        <w:tc>
          <w:tcPr/>
          <w:p>
            <w:pPr>
              <w:pStyle w:val="Compact"/>
            </w:pPr>
            <w:r>
              <w:t xml:space="preserve">Draft history (to be removed on publication)</w:t>
            </w:r>
          </w:p>
        </w:tc>
      </w:tr>
      <w:tr>
        <w:tc>
          <w:tcPr/>
          <w:p>
            <w:pPr>
              <w:pStyle w:val="Compact"/>
            </w:pPr>
            <w:r>
              <w:t xml:space="preserve">V5.0.0</w:t>
            </w:r>
          </w:p>
        </w:tc>
        <w:tc>
          <w:tcPr/>
          <w:p>
            <w:pPr>
              <w:pStyle w:val="Compact"/>
            </w:pPr>
            <w:r>
              <w:t xml:space="preserve">2024-03-01</w:t>
            </w:r>
          </w:p>
        </w:tc>
        <w:tc>
          <w:tcPr/>
          <w:p>
            <w:pPr>
              <w:pStyle w:val="Compact"/>
            </w:pPr>
            <w:r>
              <w:t xml:space="preserve">Includes the following contributions agreed during SDS#58 meeting: SDS-2023-0219R01-initial_OGC_intro</w:t>
            </w:r>
          </w:p>
        </w:tc>
      </w:tr>
      <w:tr>
        <w:tc>
          <w:tcPr/>
          <w:p>
            <w:pPr>
              <w:pStyle w:val="Compact"/>
            </w:pPr>
            <w:r>
              <w:t xml:space="preserve">V5.1.0</w:t>
            </w:r>
          </w:p>
        </w:tc>
        <w:tc>
          <w:tcPr/>
          <w:p>
            <w:pPr>
              <w:pStyle w:val="Compact"/>
            </w:pPr>
            <w:r>
              <w:t xml:space="preserve">2024-09-13</w:t>
            </w:r>
          </w:p>
        </w:tc>
        <w:tc>
          <w:tcPr/>
          <w:p>
            <w:pPr>
              <w:pStyle w:val="Compact"/>
            </w:pPr>
            <w:r>
              <w:t xml:space="preserve">Includes the following contributions agreed during SDS#66 meeting: SDS-2024-0064R02_architecture_model and editorials agreed during SD#S66</w:t>
            </w:r>
          </w:p>
        </w:tc>
      </w:tr>
      <w:tr>
        <w:tc>
          <w:tcPr/>
          <w:p>
            <w:pPr>
              <w:pStyle w:val="Compact"/>
            </w:pPr>
            <w:r>
              <w:t xml:space="preserve">V5.2.0</w:t>
            </w:r>
          </w:p>
        </w:tc>
        <w:tc>
          <w:tcPr/>
          <w:p>
            <w:pPr>
              <w:pStyle w:val="Compact"/>
            </w:pPr>
            <w:r>
              <w:t xml:space="preserve">2025-03-27</w:t>
            </w:r>
          </w:p>
        </w:tc>
        <w:tc>
          <w:tcPr/>
          <w:p>
            <w:pPr>
              <w:pStyle w:val="Compact"/>
            </w:pPr>
            <w:r>
              <w:t xml:space="preserve">Includes the following contributions agreed during SDS#68 meeting: SDS-2024-0141R02-ogc_ipe_communication_schema and SDS-2025-0016R02-ogc_ipe_configuration_aspects agreed during SDS#68</w:t>
            </w:r>
          </w:p>
        </w:tc>
      </w:tr>
      <w:tr>
        <w:tc>
          <w:tcPr/>
          <w:p>
            <w:pPr>
              <w:pStyle w:val="Compact"/>
            </w:pPr>
            <w:r>
              <w:t xml:space="preserve">V5.3.0</w:t>
            </w:r>
          </w:p>
        </w:tc>
        <w:tc>
          <w:tcPr/>
          <w:p>
            <w:pPr>
              <w:pStyle w:val="Compact"/>
            </w:pPr>
            <w:r>
              <w:t xml:space="preserve">2025-04-04</w:t>
            </w:r>
          </w:p>
        </w:tc>
        <w:tc>
          <w:tcPr/>
          <w:p>
            <w:pPr>
              <w:pStyle w:val="Compact"/>
            </w:pPr>
            <w:r>
              <w:t xml:space="preserve">Includes the following contributions agreed during SDS#69 meeting: SDS-2025-0017R04 ogc_ipe_configuration_aspects_supl agreed during SDS#69, Editorials: followed the convention to write Attributes in italics.</w:t>
            </w:r>
          </w:p>
        </w:tc>
      </w:tr>
      <w:tr>
        <w:tc>
          <w:tcPr/>
          <w:p>
            <w:pPr>
              <w:pStyle w:val="Compact"/>
            </w:pPr>
            <w:r>
              <w:t xml:space="preserve">V5.4.0</w:t>
            </w:r>
          </w:p>
        </w:tc>
        <w:tc>
          <w:tcPr/>
          <w:p>
            <w:pPr>
              <w:pStyle w:val="Compact"/>
            </w:pPr>
            <w:r>
              <w:t xml:space="preserve">2025-08-04</w:t>
            </w:r>
          </w:p>
        </w:tc>
        <w:tc>
          <w:tcPr/>
          <w:p>
            <w:pPr>
              <w:pStyle w:val="Compact"/>
            </w:pPr>
            <w:r>
              <w:t xml:space="preserve">Includes the following contributions agreed during SDS#70 meeting: SDS-2025-0080R01-text_formatting_updates, Editorials: Supporting information from the template that was intended to assist contributors has been removed to prepare for the transition of the document to change control. Additionally, the abstract and scope have been added compared to v5.3.0. The copyright year has also been updated from 2024 to 2025.</w:t>
            </w:r>
          </w:p>
        </w:tc>
      </w:tr>
      <w:tr>
        <w:tc>
          <w:tcPr/>
          <w:p>
            <w:pPr>
              <w:pStyle w:val="Compact"/>
            </w:pPr>
            <w:r>
              <w:t xml:space="preserve">v5.4.1</w:t>
            </w:r>
          </w:p>
        </w:tc>
        <w:tc>
          <w:tcPr/>
          <w:p>
            <w:pPr>
              <w:pStyle w:val="Compact"/>
            </w:pPr>
            <w:r>
              <w:t xml:space="preserve">2024-10-24</w:t>
            </w:r>
          </w:p>
        </w:tc>
        <w:tc>
          <w:tcPr/>
          <w:p>
            <w:pPr>
              <w:pStyle w:val="Compact"/>
            </w:pPr>
            <w:r>
              <w:t xml:space="preserve">Editoral corrections upon feedback by EditHelp!. Partners pre-processing done by editHelp! e-mail: mailto:edithelp@etsi.org</w:t>
            </w:r>
          </w:p>
        </w:tc>
      </w:tr>
      <w:tr>
        <w:tc>
          <w:tcPr/>
          <w:p>
            <w:pPr>
              <w:pStyle w:val="Compact"/>
            </w:pPr>
          </w:p>
        </w:tc>
        <w:tc>
          <w:tcPr/>
          <w:p>
            <w:pPr>
              <w:pStyle w:val="Compact"/>
            </w:pPr>
          </w:p>
        </w:tc>
        <w:tc>
          <w:tcPr/>
          <w:p>
            <w:pPr>
              <w:pStyle w:val="Compact"/>
            </w:pPr>
          </w:p>
        </w:tc>
      </w:tr>
    </w:tbl>
    <w:bookmarkEnd w:id="90"/>
    <w:sectPr w:rsidR="001E73A3" w:rsidRPr="004F4407" w:rsidSect="00802AA2">
      <w:headerReference r:id="rId9" w:type="default"/>
      <w:footerReference r:id="rId10" w:type="default"/>
      <w:footnotePr>
        <w:numRestart w:val="eachSect"/>
      </w:footnotePr>
      <w:pgSz w:h="16840" w:w="11907"/>
      <w:pgMar w:bottom="1134" w:footer="680" w:gutter="0" w:header="680" w:left="1134" w:right="1134" w:top="1418"/>
      <w:cols w:space="720"/>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8DBF" w14:textId="508BEB3E" w:rsidR="00D050B3" w:rsidRPr="000C4B89" w:rsidRDefault="006502E1" w:rsidP="00DB59ED">
    <w:pPr>
      <w:pStyle w:val="Footer"/>
      <w:jc w:val="left"/>
      <w:rPr>
        <w:rFonts w:ascii="Times New Roman" w:hAnsi="Times New Roman"/>
        <w:bCs/>
        <w:i w:val="0"/>
        <w:sz w:val="20"/>
      </w:rPr>
    </w:pPr>
    <w:r w:rsidRPr="006502E1">
      <w:rPr>
        <w:rFonts w:ascii="Times New Roman" w:eastAsia="Calibri" w:hAnsi="Times New Roman"/>
        <w:bCs/>
        <w:i w:val="0"/>
        <w:sz w:val="20"/>
        <w:lang w:val="en-US"/>
      </w:rPr>
      <w:t>© 20</w:t>
    </w:r>
    <w:r>
      <w:rPr>
        <w:rFonts w:ascii="Times New Roman" w:eastAsia="Calibri" w:hAnsi="Times New Roman"/>
        <w:bCs/>
        <w:i w:val="0"/>
        <w:sz w:val="20"/>
        <w:lang w:val="en-US"/>
      </w:rPr>
      <w:t>25</w:t>
    </w:r>
    <w:r w:rsidRPr="006502E1">
      <w:rPr>
        <w:rFonts w:ascii="Times New Roman" w:eastAsia="Calibri" w:hAnsi="Times New Roman"/>
        <w:bCs/>
        <w:i w:val="0"/>
        <w:sz w:val="20"/>
        <w:lang w:val="en-US"/>
      </w:rPr>
      <w:t>, oneM2M Partners Type 1</w:t>
    </w:r>
    <w:r w:rsidRPr="000C4B89">
      <w:rPr>
        <w:rFonts w:ascii="Times New Roman" w:hAnsi="Times New Roman"/>
        <w:bCs/>
        <w:i w:val="0"/>
        <w:sz w:val="20"/>
      </w:rPr>
      <w:t xml:space="preserve"> </w:t>
    </w:r>
    <w:r w:rsidR="000C4B89" w:rsidRPr="000C4B89">
      <w:rPr>
        <w:rFonts w:ascii="Times New Roman" w:hAnsi="Times New Roman"/>
        <w:bCs/>
        <w:i w:val="0"/>
        <w:sz w:val="20"/>
      </w:rPr>
      <w:ptab w:relativeTo="margin" w:alignment="right" w:leader="none"/>
    </w:r>
    <w:r w:rsidR="000C4B89" w:rsidRPr="000C4B89">
      <w:rPr>
        <w:rFonts w:ascii="Times New Roman" w:hAnsi="Times New Roman"/>
        <w:bCs/>
        <w:i w:val="0"/>
        <w:sz w:val="20"/>
      </w:rPr>
      <w:t xml:space="preserve">Page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PAGE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1</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 xml:space="preserve"> (of </w:t>
    </w:r>
    <w:r w:rsidR="000C4B89" w:rsidRPr="000C4B89">
      <w:rPr>
        <w:rFonts w:ascii="Times New Roman" w:hAnsi="Times New Roman"/>
        <w:bCs/>
        <w:i w:val="0"/>
        <w:sz w:val="20"/>
      </w:rPr>
      <w:fldChar w:fldCharType="begin"/>
    </w:r>
    <w:r w:rsidR="000C4B89" w:rsidRPr="000C4B89">
      <w:rPr>
        <w:rFonts w:ascii="Times New Roman" w:hAnsi="Times New Roman"/>
        <w:bCs/>
        <w:i w:val="0"/>
        <w:sz w:val="20"/>
      </w:rPr>
      <w:instrText xml:space="preserve"> NUMPAGES  \* Arabic  \* MERGEFORMAT </w:instrText>
    </w:r>
    <w:r w:rsidR="000C4B89" w:rsidRPr="000C4B89">
      <w:rPr>
        <w:rFonts w:ascii="Times New Roman" w:hAnsi="Times New Roman"/>
        <w:bCs/>
        <w:i w:val="0"/>
        <w:sz w:val="20"/>
      </w:rPr>
      <w:fldChar w:fldCharType="separate"/>
    </w:r>
    <w:r w:rsidR="000C4B89" w:rsidRPr="000C4B89">
      <w:rPr>
        <w:rFonts w:ascii="Times New Roman" w:hAnsi="Times New Roman"/>
        <w:bCs/>
        <w:i w:val="0"/>
        <w:sz w:val="20"/>
      </w:rPr>
      <w:t>2</w:t>
    </w:r>
    <w:r w:rsidR="000C4B89" w:rsidRPr="000C4B89">
      <w:rPr>
        <w:rFonts w:ascii="Times New Roman" w:hAnsi="Times New Roman"/>
        <w:bCs/>
        <w:i w:val="0"/>
        <w:sz w:val="20"/>
      </w:rPr>
      <w:fldChar w:fldCharType="end"/>
    </w:r>
    <w:r w:rsidR="000C4B89" w:rsidRPr="000C4B89">
      <w:rPr>
        <w:rFonts w:ascii="Times New Roman" w:hAnsi="Times New Roman"/>
        <w:bCs/>
        <w:i w:val="0"/>
        <w:sz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C14C8" w14:textId="18B0F293" w:rsidR="00D050B3" w:rsidRDefault="00D050B3" w:rsidP="00325EA3">
    <w:pPr>
      <w:pStyle w:val="Footer"/>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ab/>
      <w:t xml:space="preserve">Page </w:t>
    </w:r>
    <w:r>
      <w:fldChar w:fldCharType="begin"/>
    </w:r>
    <w:r>
      <w:instrText xml:space="preserve"> PAGE   \* MERGEFORMAT </w:instrText>
    </w:r>
    <w:r>
      <w:fldChar w:fldCharType="separate"/>
    </w:r>
    <w:r>
      <w:t>21</w:t>
    </w:r>
    <w:r>
      <w:fldChar w:fldCharType="end"/>
    </w:r>
    <w:r>
      <w:t xml:space="preserve"> of </w:t>
    </w:r>
    <w:fldSimple w:instr=" NUMPAGES   \* MERGEFORMAT ">
      <w:r>
        <w:t>22</w:t>
      </w:r>
    </w:fldSimple>
  </w:p>
  <w:p w14:paraId="2E85E951" w14:textId="77777777" w:rsidR="00D050B3" w:rsidRPr="00424964" w:rsidRDefault="00D050B3"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D9BD" w14:textId="346FA9D7" w:rsidR="00D050B3" w:rsidRPr="00E12639" w:rsidRDefault="00D050B3" w:rsidP="001F4D0C">
    <w:pPr>
      <w:tabs>
        <w:tab w:val="left" w:pos="284"/>
        <w:tab w:val="center" w:pos="4680"/>
        <w:tab w:val="right" w:pos="9360"/>
      </w:tabs>
      <w:overflowPunct/>
      <w:autoSpaceDE/>
      <w:autoSpaceDN/>
      <w:adjustRightInd/>
      <w:spacing w:before="120" w:after="0"/>
      <w:textAlignment w:val="auto"/>
      <w:rPr>
        <w:bCs/>
        <w:sz w:val="22"/>
        <w:szCs w:val="22"/>
        <w:shd w:val="clear" w:color="auto" w:fill="FFFFFF"/>
      </w:rP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F50ED7FE"/>
    <w:lvl w:ilvl="0">
      <w:start w:val="1"/>
      <w:numFmt w:val="decimal"/>
      <w:pStyle w:val="ListNumber5"/>
      <w:lvlText w:val="%1."/>
      <w:lvlJc w:val="left"/>
      <w:pPr>
        <w:tabs>
          <w:tab w:pos="1492" w:val="num"/>
        </w:tabs>
        <w:ind w:hanging="360" w:left="1492"/>
      </w:pPr>
    </w:lvl>
  </w:abstractNum>
  <w:abstractNum w15:restartNumberingAfterBreak="0" w:abstractNumId="1">
    <w:nsid w:val="FFFFFF7D"/>
    <w:multiLevelType w:val="singleLevel"/>
    <w:tmpl w:val="3C4A6EBE"/>
    <w:lvl w:ilvl="0">
      <w:start w:val="1"/>
      <w:numFmt w:val="decimal"/>
      <w:pStyle w:val="ListNumber4"/>
      <w:lvlText w:val="%1."/>
      <w:lvlJc w:val="left"/>
      <w:pPr>
        <w:tabs>
          <w:tab w:pos="1209" w:val="num"/>
        </w:tabs>
        <w:ind w:hanging="360" w:left="1209"/>
      </w:pPr>
    </w:lvl>
  </w:abstractNum>
  <w:abstractNum w15:restartNumberingAfterBreak="0" w:abstractNumId="2">
    <w:nsid w:val="FFFFFF7E"/>
    <w:multiLevelType w:val="singleLevel"/>
    <w:tmpl w:val="036EEB52"/>
    <w:lvl w:ilvl="0">
      <w:start w:val="1"/>
      <w:numFmt w:val="decimal"/>
      <w:pStyle w:val="ListNumber3"/>
      <w:lvlText w:val="%1."/>
      <w:lvlJc w:val="left"/>
      <w:pPr>
        <w:tabs>
          <w:tab w:pos="926" w:val="num"/>
        </w:tabs>
        <w:ind w:hanging="360" w:left="926"/>
      </w:pPr>
    </w:lvl>
  </w:abstractNum>
  <w:abstractNum w15:restartNumberingAfterBreak="0" w:abstractNumId="3">
    <w:nsid w:val="0D0D5C41"/>
    <w:multiLevelType w:val="hybridMultilevel"/>
    <w:tmpl w:val="D7FEECAE"/>
    <w:lvl w:ilvl="0" w:tplc="8196DBFC">
      <w:start w:val="2019"/>
      <w:numFmt w:val="bullet"/>
      <w:lvlText w:val="-"/>
      <w:lvlJc w:val="left"/>
      <w:pPr>
        <w:ind w:hanging="360" w:left="644"/>
      </w:pPr>
      <w:rPr>
        <w:rFonts w:ascii="Times New Roman" w:cs="Times New Roman" w:eastAsia="SimSun" w:hAnsi="Times New Roman" w:hint="default"/>
      </w:rPr>
    </w:lvl>
    <w:lvl w:ilvl="1" w:tentative="1" w:tplc="08090003">
      <w:start w:val="1"/>
      <w:numFmt w:val="bullet"/>
      <w:lvlText w:val="o"/>
      <w:lvlJc w:val="left"/>
      <w:pPr>
        <w:ind w:hanging="360" w:left="1364"/>
      </w:pPr>
      <w:rPr>
        <w:rFonts w:ascii="Courier New" w:cs="Courier New" w:hAnsi="Courier New" w:hint="default"/>
      </w:rPr>
    </w:lvl>
    <w:lvl w:ilvl="2" w:tentative="1" w:tplc="08090005">
      <w:start w:val="1"/>
      <w:numFmt w:val="bullet"/>
      <w:lvlText w:val=""/>
      <w:lvlJc w:val="left"/>
      <w:pPr>
        <w:ind w:hanging="360" w:left="2084"/>
      </w:pPr>
      <w:rPr>
        <w:rFonts w:ascii="Wingdings" w:hAnsi="Wingdings" w:hint="default"/>
      </w:rPr>
    </w:lvl>
    <w:lvl w:ilvl="3" w:tentative="1" w:tplc="08090001">
      <w:start w:val="1"/>
      <w:numFmt w:val="bullet"/>
      <w:lvlText w:val=""/>
      <w:lvlJc w:val="left"/>
      <w:pPr>
        <w:ind w:hanging="360" w:left="2804"/>
      </w:pPr>
      <w:rPr>
        <w:rFonts w:ascii="Symbol" w:hAnsi="Symbol" w:hint="default"/>
      </w:rPr>
    </w:lvl>
    <w:lvl w:ilvl="4" w:tentative="1" w:tplc="08090003">
      <w:start w:val="1"/>
      <w:numFmt w:val="bullet"/>
      <w:lvlText w:val="o"/>
      <w:lvlJc w:val="left"/>
      <w:pPr>
        <w:ind w:hanging="360" w:left="3524"/>
      </w:pPr>
      <w:rPr>
        <w:rFonts w:ascii="Courier New" w:cs="Courier New" w:hAnsi="Courier New" w:hint="default"/>
      </w:rPr>
    </w:lvl>
    <w:lvl w:ilvl="5" w:tentative="1" w:tplc="08090005">
      <w:start w:val="1"/>
      <w:numFmt w:val="bullet"/>
      <w:lvlText w:val=""/>
      <w:lvlJc w:val="left"/>
      <w:pPr>
        <w:ind w:hanging="360" w:left="4244"/>
      </w:pPr>
      <w:rPr>
        <w:rFonts w:ascii="Wingdings" w:hAnsi="Wingdings" w:hint="default"/>
      </w:rPr>
    </w:lvl>
    <w:lvl w:ilvl="6" w:tentative="1" w:tplc="08090001">
      <w:start w:val="1"/>
      <w:numFmt w:val="bullet"/>
      <w:lvlText w:val=""/>
      <w:lvlJc w:val="left"/>
      <w:pPr>
        <w:ind w:hanging="360" w:left="4964"/>
      </w:pPr>
      <w:rPr>
        <w:rFonts w:ascii="Symbol" w:hAnsi="Symbol" w:hint="default"/>
      </w:rPr>
    </w:lvl>
    <w:lvl w:ilvl="7" w:tentative="1" w:tplc="08090003">
      <w:start w:val="1"/>
      <w:numFmt w:val="bullet"/>
      <w:lvlText w:val="o"/>
      <w:lvlJc w:val="left"/>
      <w:pPr>
        <w:ind w:hanging="360" w:left="5684"/>
      </w:pPr>
      <w:rPr>
        <w:rFonts w:ascii="Courier New" w:cs="Courier New" w:hAnsi="Courier New" w:hint="default"/>
      </w:rPr>
    </w:lvl>
    <w:lvl w:ilvl="8" w:tentative="1" w:tplc="08090005">
      <w:start w:val="1"/>
      <w:numFmt w:val="bullet"/>
      <w:lvlText w:val=""/>
      <w:lvlJc w:val="left"/>
      <w:pPr>
        <w:ind w:hanging="360" w:left="6404"/>
      </w:pPr>
      <w:rPr>
        <w:rFonts w:ascii="Wingdings" w:hAnsi="Wingdings" w:hint="default"/>
      </w:rPr>
    </w:lvl>
  </w:abstractNum>
  <w:abstractNum w15:restartNumberingAfterBreak="0" w:abstractNumId="4">
    <w:nsid w:val="10C15FE7"/>
    <w:multiLevelType w:val="hybridMultilevel"/>
    <w:tmpl w:val="1736DD48"/>
    <w:lvl w:ilvl="0" w:tplc="4E462B14">
      <w:start w:val="1"/>
      <w:numFmt w:val="bullet"/>
      <w:pStyle w:val="B3"/>
      <w:lvlText w:val=""/>
      <w:lvlJc w:val="left"/>
      <w:pPr>
        <w:tabs>
          <w:tab w:pos="1644" w:val="num"/>
        </w:tabs>
        <w:ind w:hanging="453" w:left="1644"/>
      </w:pPr>
      <w:rPr>
        <w:rFonts w:ascii="Wingdings" w:hAnsi="Wingding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5">
    <w:nsid w:val="29F978E9"/>
    <w:multiLevelType w:val="hybridMultilevel"/>
    <w:tmpl w:val="669A7826"/>
    <w:lvl w:ilvl="0" w:tplc="9704FDD4">
      <w:start w:val="1"/>
      <w:numFmt w:val="bullet"/>
      <w:pStyle w:val="B1"/>
      <w:lvlText w:val=""/>
      <w:lvlJc w:val="left"/>
      <w:pPr>
        <w:tabs>
          <w:tab w:pos="737" w:val="num"/>
        </w:tabs>
        <w:ind w:hanging="453" w:left="737"/>
      </w:pPr>
      <w:rPr>
        <w:rFonts w:ascii="Symbol" w:hAnsi="Symbol" w:hint="default"/>
        <w:color w:val="auto"/>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6">
    <w:nsid w:val="35C80964"/>
    <w:multiLevelType w:val="hybridMultilevel"/>
    <w:tmpl w:val="E9C00184"/>
    <w:lvl w:ilvl="0" w:tplc="3EF48BA0">
      <w:start w:val="1"/>
      <w:numFmt w:val="decimal"/>
      <w:pStyle w:val="BN"/>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7">
    <w:nsid w:val="389C6882"/>
    <w:multiLevelType w:val="hybridMultilevel"/>
    <w:tmpl w:val="DA903E38"/>
    <w:lvl w:ilvl="0" w:tplc="04090011">
      <w:start w:val="1"/>
      <w:numFmt w:val="decimalEnclosedCircle"/>
      <w:lvlText w:val="%1"/>
      <w:lvlJc w:val="left"/>
      <w:pPr>
        <w:ind w:hanging="360" w:left="760"/>
      </w:pPr>
      <w:rPr>
        <w:rFonts w:hint="default"/>
      </w:rPr>
    </w:lvl>
    <w:lvl w:ilvl="1" w:tentative="1" w:tplc="04090019">
      <w:start w:val="1"/>
      <w:numFmt w:val="upperLetter"/>
      <w:lvlText w:val="%2."/>
      <w:lvlJc w:val="left"/>
      <w:pPr>
        <w:ind w:hanging="400" w:left="1200"/>
      </w:pPr>
    </w:lvl>
    <w:lvl w:ilvl="2" w:tentative="1" w:tplc="0409001B">
      <w:start w:val="1"/>
      <w:numFmt w:val="lowerRoman"/>
      <w:lvlText w:val="%3."/>
      <w:lvlJc w:val="right"/>
      <w:pPr>
        <w:ind w:hanging="400" w:left="1600"/>
      </w:pPr>
    </w:lvl>
    <w:lvl w:ilvl="3" w:tentative="1" w:tplc="0409000F">
      <w:start w:val="1"/>
      <w:numFmt w:val="decimal"/>
      <w:lvlText w:val="%4."/>
      <w:lvlJc w:val="left"/>
      <w:pPr>
        <w:ind w:hanging="400" w:left="2000"/>
      </w:pPr>
    </w:lvl>
    <w:lvl w:ilvl="4" w:tentative="1" w:tplc="04090019">
      <w:start w:val="1"/>
      <w:numFmt w:val="upperLetter"/>
      <w:lvlText w:val="%5."/>
      <w:lvlJc w:val="left"/>
      <w:pPr>
        <w:ind w:hanging="400" w:left="2400"/>
      </w:pPr>
    </w:lvl>
    <w:lvl w:ilvl="5" w:tentative="1" w:tplc="0409001B">
      <w:start w:val="1"/>
      <w:numFmt w:val="lowerRoman"/>
      <w:lvlText w:val="%6."/>
      <w:lvlJc w:val="right"/>
      <w:pPr>
        <w:ind w:hanging="400" w:left="2800"/>
      </w:pPr>
    </w:lvl>
    <w:lvl w:ilvl="6" w:tentative="1" w:tplc="0409000F">
      <w:start w:val="1"/>
      <w:numFmt w:val="decimal"/>
      <w:lvlText w:val="%7."/>
      <w:lvlJc w:val="left"/>
      <w:pPr>
        <w:ind w:hanging="400" w:left="3200"/>
      </w:pPr>
    </w:lvl>
    <w:lvl w:ilvl="7" w:tentative="1" w:tplc="04090019">
      <w:start w:val="1"/>
      <w:numFmt w:val="upperLetter"/>
      <w:lvlText w:val="%8."/>
      <w:lvlJc w:val="left"/>
      <w:pPr>
        <w:ind w:hanging="400" w:left="3600"/>
      </w:pPr>
    </w:lvl>
    <w:lvl w:ilvl="8" w:tentative="1" w:tplc="0409001B">
      <w:start w:val="1"/>
      <w:numFmt w:val="lowerRoman"/>
      <w:lvlText w:val="%9."/>
      <w:lvlJc w:val="right"/>
      <w:pPr>
        <w:ind w:hanging="400" w:left="4000"/>
      </w:pPr>
    </w:lvl>
  </w:abstractNum>
  <w:abstractNum w15:restartNumberingAfterBreak="0" w:abstractNumId="8">
    <w:nsid w:val="45AF0D01"/>
    <w:multiLevelType w:val="multilevel"/>
    <w:tmpl w:val="AFDAEB0C"/>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9">
    <w:nsid w:val="495B6C2C"/>
    <w:multiLevelType w:val="hybridMultilevel"/>
    <w:tmpl w:val="1F86C7B0"/>
    <w:lvl w:ilvl="0" w:tplc="99365A56">
      <w:start w:val="10"/>
      <w:numFmt w:val="bullet"/>
      <w:lvlText w:val="-"/>
      <w:lvlJc w:val="left"/>
      <w:pPr>
        <w:ind w:hanging="360" w:left="760"/>
      </w:pPr>
      <w:rPr>
        <w:rFonts w:ascii="Arial" w:cs="Arial" w:eastAsia="Gulim" w:hAnsi="Arial" w:hint="default"/>
      </w:rPr>
    </w:lvl>
    <w:lvl w:ilvl="1" w:tplc="04090003">
      <w:start w:val="1"/>
      <w:numFmt w:val="bullet"/>
      <w:lvlText w:val=""/>
      <w:lvlJc w:val="left"/>
      <w:pPr>
        <w:ind w:hanging="400" w:left="1200"/>
      </w:pPr>
      <w:rPr>
        <w:rFonts w:ascii="Wingdings" w:hAnsi="Wingdings" w:hint="default"/>
      </w:rPr>
    </w:lvl>
    <w:lvl w:ilvl="2" w:tentative="1" w:tplc="04090005">
      <w:start w:val="1"/>
      <w:numFmt w:val="bullet"/>
      <w:lvlText w:val=""/>
      <w:lvlJc w:val="left"/>
      <w:pPr>
        <w:ind w:hanging="400" w:left="1600"/>
      </w:pPr>
      <w:rPr>
        <w:rFonts w:ascii="Wingdings" w:hAnsi="Wingdings" w:hint="default"/>
      </w:rPr>
    </w:lvl>
    <w:lvl w:ilvl="3" w:tentative="1" w:tplc="04090001">
      <w:start w:val="1"/>
      <w:numFmt w:val="bullet"/>
      <w:lvlText w:val=""/>
      <w:lvlJc w:val="left"/>
      <w:pPr>
        <w:ind w:hanging="400" w:left="2000"/>
      </w:pPr>
      <w:rPr>
        <w:rFonts w:ascii="Wingdings" w:hAnsi="Wingdings" w:hint="default"/>
      </w:rPr>
    </w:lvl>
    <w:lvl w:ilvl="4" w:tentative="1" w:tplc="04090003">
      <w:start w:val="1"/>
      <w:numFmt w:val="bullet"/>
      <w:lvlText w:val=""/>
      <w:lvlJc w:val="left"/>
      <w:pPr>
        <w:ind w:hanging="400" w:left="2400"/>
      </w:pPr>
      <w:rPr>
        <w:rFonts w:ascii="Wingdings" w:hAnsi="Wingdings" w:hint="default"/>
      </w:rPr>
    </w:lvl>
    <w:lvl w:ilvl="5" w:tentative="1" w:tplc="04090005">
      <w:start w:val="1"/>
      <w:numFmt w:val="bullet"/>
      <w:lvlText w:val=""/>
      <w:lvlJc w:val="left"/>
      <w:pPr>
        <w:ind w:hanging="400" w:left="2800"/>
      </w:pPr>
      <w:rPr>
        <w:rFonts w:ascii="Wingdings" w:hAnsi="Wingdings" w:hint="default"/>
      </w:rPr>
    </w:lvl>
    <w:lvl w:ilvl="6" w:tentative="1" w:tplc="04090001">
      <w:start w:val="1"/>
      <w:numFmt w:val="bullet"/>
      <w:lvlText w:val=""/>
      <w:lvlJc w:val="left"/>
      <w:pPr>
        <w:ind w:hanging="400" w:left="3200"/>
      </w:pPr>
      <w:rPr>
        <w:rFonts w:ascii="Wingdings" w:hAnsi="Wingdings" w:hint="default"/>
      </w:rPr>
    </w:lvl>
    <w:lvl w:ilvl="7" w:tentative="1" w:tplc="04090003">
      <w:start w:val="1"/>
      <w:numFmt w:val="bullet"/>
      <w:lvlText w:val=""/>
      <w:lvlJc w:val="left"/>
      <w:pPr>
        <w:ind w:hanging="400" w:left="3600"/>
      </w:pPr>
      <w:rPr>
        <w:rFonts w:ascii="Wingdings" w:hAnsi="Wingdings" w:hint="default"/>
      </w:rPr>
    </w:lvl>
    <w:lvl w:ilvl="8" w:tentative="1" w:tplc="04090005">
      <w:start w:val="1"/>
      <w:numFmt w:val="bullet"/>
      <w:lvlText w:val=""/>
      <w:lvlJc w:val="left"/>
      <w:pPr>
        <w:ind w:hanging="400" w:left="4000"/>
      </w:pPr>
      <w:rPr>
        <w:rFonts w:ascii="Wingdings" w:hAnsi="Wingdings" w:hint="default"/>
      </w:rPr>
    </w:lvl>
  </w:abstractNum>
  <w:abstractNum w15:restartNumberingAfterBreak="0" w:abstractNumId="10">
    <w:nsid w:val="4F2D3CBA"/>
    <w:multiLevelType w:val="hybridMultilevel"/>
    <w:tmpl w:val="E770663C"/>
    <w:lvl w:ilvl="0" w:tplc="C86A0B8A">
      <w:start w:val="1"/>
      <w:numFmt w:val="lowerLetter"/>
      <w:pStyle w:val="BL"/>
      <w:lvlText w:val="%1)"/>
      <w:lvlJc w:val="left"/>
      <w:pPr>
        <w:tabs>
          <w:tab w:pos="737" w:val="num"/>
        </w:tabs>
        <w:ind w:hanging="453" w:left="737"/>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11">
    <w:nsid w:val="51027013"/>
    <w:multiLevelType w:val="multilevel"/>
    <w:tmpl w:val="C3F2A7FA"/>
    <w:lvl w:ilvl="0">
      <w:start w:val="1"/>
      <w:numFmt w:val="upperRoman"/>
      <w:lvlText w:val="Article %1."/>
      <w:lvlJc w:val="left"/>
      <w:pPr>
        <w:ind w:firstLine="0" w:left="0"/>
      </w:pPr>
    </w:lvl>
    <w:lvl w:ilvl="1">
      <w:start w:val="1"/>
      <w:numFmt w:val="decimalZero"/>
      <w:isLgl/>
      <w:lvlText w:val="Section %1.%2"/>
      <w:lvlJc w:val="left"/>
      <w:pPr>
        <w:ind w:firstLine="0" w:left="0"/>
      </w:pPr>
    </w:lvl>
    <w:lvl w:ilvl="2">
      <w:start w:val="1"/>
      <w:numFmt w:val="lowerLetter"/>
      <w:lvlText w:val="(%3)"/>
      <w:lvlJc w:val="left"/>
      <w:pPr>
        <w:ind w:hanging="432" w:left="720"/>
      </w:pPr>
    </w:lvl>
    <w:lvl w:ilvl="3">
      <w:start w:val="1"/>
      <w:numFmt w:val="lowerRoman"/>
      <w:lvlText w:val="(%4)"/>
      <w:lvlJc w:val="right"/>
      <w:pPr>
        <w:ind w:hanging="144" w:left="864"/>
      </w:pPr>
    </w:lvl>
    <w:lvl w:ilvl="4">
      <w:start w:val="1"/>
      <w:numFmt w:val="decimal"/>
      <w:lvlText w:val="%5)"/>
      <w:lvlJc w:val="left"/>
      <w:pPr>
        <w:ind w:hanging="432" w:left="1008"/>
      </w:pPr>
    </w:lvl>
    <w:lvl w:ilvl="5">
      <w:start w:val="1"/>
      <w:numFmt w:val="lowerLetter"/>
      <w:lvlText w:val="%6)"/>
      <w:lvlJc w:val="left"/>
      <w:pPr>
        <w:ind w:hanging="432" w:left="1152"/>
      </w:pPr>
    </w:lvl>
    <w:lvl w:ilvl="6">
      <w:start w:val="1"/>
      <w:numFmt w:val="lowerRoman"/>
      <w:lvlText w:val="%7)"/>
      <w:lvlJc w:val="right"/>
      <w:pPr>
        <w:ind w:hanging="288" w:left="1296"/>
      </w:pPr>
    </w:lvl>
    <w:lvl w:ilvl="7">
      <w:start w:val="1"/>
      <w:numFmt w:val="lowerLetter"/>
      <w:lvlText w:val="%8."/>
      <w:lvlJc w:val="left"/>
      <w:pPr>
        <w:ind w:hanging="432" w:left="1440"/>
      </w:pPr>
    </w:lvl>
    <w:lvl w:ilvl="8">
      <w:start w:val="1"/>
      <w:numFmt w:val="lowerRoman"/>
      <w:lvlText w:val="%9."/>
      <w:lvlJc w:val="right"/>
      <w:pPr>
        <w:ind w:hanging="144" w:left="1584"/>
      </w:pPr>
    </w:lvl>
  </w:abstractNum>
  <w:abstractNum w15:restartNumberingAfterBreak="0" w:abstractNumId="12">
    <w:nsid w:val="70BD643C"/>
    <w:multiLevelType w:val="hybridMultilevel"/>
    <w:tmpl w:val="699CF268"/>
    <w:lvl w:ilvl="0" w:tplc="1674C0D4">
      <w:start w:val="1"/>
      <w:numFmt w:val="bullet"/>
      <w:pStyle w:val="TB1"/>
      <w:lvlText w:val=""/>
      <w:lvlJc w:val="left"/>
      <w:pPr>
        <w:ind w:hanging="360" w:left="720"/>
      </w:pPr>
      <w:rPr>
        <w:rFonts w:ascii="Symbol" w:hAnsi="Symbol" w:hint="default"/>
      </w:rPr>
    </w:lvl>
    <w:lvl w:ilvl="1" w:tplc="2A0EB680">
      <w:start w:val="1"/>
      <w:numFmt w:val="bullet"/>
      <w:lvlText w:val=""/>
      <w:lvlJc w:val="left"/>
      <w:pPr>
        <w:ind w:hanging="360" w:left="1440"/>
      </w:pPr>
      <w:rPr>
        <w:rFonts w:ascii="Symbol" w:hAnsi="Symbol" w:hint="default"/>
        <w:color w:val="auto"/>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3">
    <w:nsid w:val="79156C54"/>
    <w:multiLevelType w:val="hybridMultilevel"/>
    <w:tmpl w:val="EAFC6A0C"/>
    <w:lvl w:ilvl="0" w:tplc="8564E26C">
      <w:start w:val="1"/>
      <w:numFmt w:val="bullet"/>
      <w:pStyle w:val="B2"/>
      <w:lvlText w:val="-"/>
      <w:lvlJc w:val="left"/>
      <w:pPr>
        <w:tabs>
          <w:tab w:pos="1191" w:val="num"/>
        </w:tabs>
        <w:ind w:hanging="454" w:left="1191"/>
      </w:pPr>
      <w:rPr>
        <w:rFonts w:hint="default"/>
      </w:rPr>
    </w:lvl>
    <w:lvl w:ilvl="1" w:tentative="1" w:tplc="04090003">
      <w:start w:val="1"/>
      <w:numFmt w:val="bullet"/>
      <w:lvlText w:val="o"/>
      <w:lvlJc w:val="left"/>
      <w:pPr>
        <w:tabs>
          <w:tab w:pos="1440" w:val="num"/>
        </w:tabs>
        <w:ind w:hanging="360" w:left="1440"/>
      </w:pPr>
      <w:rPr>
        <w:rFonts w:ascii="Courier New" w:hAnsi="Courier New" w:hint="default"/>
      </w:rPr>
    </w:lvl>
    <w:lvl w:ilvl="2" w:tentative="1" w:tplc="04090005">
      <w:start w:val="1"/>
      <w:numFmt w:val="bullet"/>
      <w:lvlText w:val=""/>
      <w:lvlJc w:val="left"/>
      <w:pPr>
        <w:tabs>
          <w:tab w:pos="2160" w:val="num"/>
        </w:tabs>
        <w:ind w:hanging="360" w:left="2160"/>
      </w:pPr>
      <w:rPr>
        <w:rFonts w:ascii="Wingdings" w:hAnsi="Wingdings" w:hint="default"/>
      </w:rPr>
    </w:lvl>
    <w:lvl w:ilvl="3" w:tentative="1" w:tplc="04090001">
      <w:start w:val="1"/>
      <w:numFmt w:val="bullet"/>
      <w:lvlText w:val=""/>
      <w:lvlJc w:val="left"/>
      <w:pPr>
        <w:tabs>
          <w:tab w:pos="2880" w:val="num"/>
        </w:tabs>
        <w:ind w:hanging="360" w:left="2880"/>
      </w:pPr>
      <w:rPr>
        <w:rFonts w:ascii="Symbol" w:hAnsi="Symbol" w:hint="default"/>
      </w:rPr>
    </w:lvl>
    <w:lvl w:ilvl="4" w:tentative="1" w:tplc="04090003">
      <w:start w:val="1"/>
      <w:numFmt w:val="bullet"/>
      <w:lvlText w:val="o"/>
      <w:lvlJc w:val="left"/>
      <w:pPr>
        <w:tabs>
          <w:tab w:pos="3600" w:val="num"/>
        </w:tabs>
        <w:ind w:hanging="360" w:left="3600"/>
      </w:pPr>
      <w:rPr>
        <w:rFonts w:ascii="Courier New" w:hAnsi="Courier New" w:hint="default"/>
      </w:rPr>
    </w:lvl>
    <w:lvl w:ilvl="5" w:tentative="1" w:tplc="04090005">
      <w:start w:val="1"/>
      <w:numFmt w:val="bullet"/>
      <w:lvlText w:val=""/>
      <w:lvlJc w:val="left"/>
      <w:pPr>
        <w:tabs>
          <w:tab w:pos="4320" w:val="num"/>
        </w:tabs>
        <w:ind w:hanging="360" w:left="4320"/>
      </w:pPr>
      <w:rPr>
        <w:rFonts w:ascii="Wingdings" w:hAnsi="Wingdings" w:hint="default"/>
      </w:rPr>
    </w:lvl>
    <w:lvl w:ilvl="6" w:tentative="1" w:tplc="04090001">
      <w:start w:val="1"/>
      <w:numFmt w:val="bullet"/>
      <w:lvlText w:val=""/>
      <w:lvlJc w:val="left"/>
      <w:pPr>
        <w:tabs>
          <w:tab w:pos="5040" w:val="num"/>
        </w:tabs>
        <w:ind w:hanging="360" w:left="5040"/>
      </w:pPr>
      <w:rPr>
        <w:rFonts w:ascii="Symbol" w:hAnsi="Symbol" w:hint="default"/>
      </w:rPr>
    </w:lvl>
    <w:lvl w:ilvl="7" w:tentative="1" w:tplc="04090003">
      <w:start w:val="1"/>
      <w:numFmt w:val="bullet"/>
      <w:lvlText w:val="o"/>
      <w:lvlJc w:val="left"/>
      <w:pPr>
        <w:tabs>
          <w:tab w:pos="5760" w:val="num"/>
        </w:tabs>
        <w:ind w:hanging="360" w:left="5760"/>
      </w:pPr>
      <w:rPr>
        <w:rFonts w:ascii="Courier New" w:hAnsi="Courier New" w:hint="default"/>
      </w:rPr>
    </w:lvl>
    <w:lvl w:ilvl="8" w:tentative="1" w:tplc="04090005">
      <w:start w:val="1"/>
      <w:numFmt w:val="bullet"/>
      <w:lvlText w:val=""/>
      <w:lvlJc w:val="left"/>
      <w:pPr>
        <w:tabs>
          <w:tab w:pos="6480" w:val="num"/>
        </w:tabs>
        <w:ind w:hanging="360" w:left="6480"/>
      </w:pPr>
      <w:rPr>
        <w:rFonts w:ascii="Wingdings" w:hAnsi="Wingdings" w:hint="default"/>
      </w:rPr>
    </w:lvl>
  </w:abstractNum>
  <w:abstractNum w15:restartNumberingAfterBreak="0" w:abstractNumId="14">
    <w:nsid w:val="792F5895"/>
    <w:multiLevelType w:val="hybridMultilevel"/>
    <w:tmpl w:val="18ACF656"/>
    <w:lvl w:ilvl="0" w:tplc="48BE087C">
      <w:start w:val="1"/>
      <w:numFmt w:val="bullet"/>
      <w:pStyle w:val="TB2"/>
      <w:lvlText w:val=""/>
      <w:lvlJc w:val="left"/>
      <w:pPr>
        <w:ind w:hanging="360" w:left="1403"/>
      </w:pPr>
      <w:rPr>
        <w:rFonts w:ascii="Symbol" w:hAnsi="Symbol" w:hint="default"/>
      </w:rPr>
    </w:lvl>
    <w:lvl w:ilvl="1" w:tentative="1" w:tplc="04090003">
      <w:start w:val="1"/>
      <w:numFmt w:val="bullet"/>
      <w:lvlText w:val="o"/>
      <w:lvlJc w:val="left"/>
      <w:pPr>
        <w:ind w:hanging="360" w:left="2123"/>
      </w:pPr>
      <w:rPr>
        <w:rFonts w:ascii="Courier New" w:cs="Courier New" w:hAnsi="Courier New" w:hint="default"/>
      </w:rPr>
    </w:lvl>
    <w:lvl w:ilvl="2" w:tentative="1" w:tplc="04090005">
      <w:start w:val="1"/>
      <w:numFmt w:val="bullet"/>
      <w:lvlText w:val=""/>
      <w:lvlJc w:val="left"/>
      <w:pPr>
        <w:ind w:hanging="360" w:left="2843"/>
      </w:pPr>
      <w:rPr>
        <w:rFonts w:ascii="Wingdings" w:hAnsi="Wingdings" w:hint="default"/>
      </w:rPr>
    </w:lvl>
    <w:lvl w:ilvl="3" w:tentative="1" w:tplc="04090001">
      <w:start w:val="1"/>
      <w:numFmt w:val="bullet"/>
      <w:lvlText w:val=""/>
      <w:lvlJc w:val="left"/>
      <w:pPr>
        <w:ind w:hanging="360" w:left="3563"/>
      </w:pPr>
      <w:rPr>
        <w:rFonts w:ascii="Symbol" w:hAnsi="Symbol" w:hint="default"/>
      </w:rPr>
    </w:lvl>
    <w:lvl w:ilvl="4" w:tentative="1" w:tplc="04090003">
      <w:start w:val="1"/>
      <w:numFmt w:val="bullet"/>
      <w:lvlText w:val="o"/>
      <w:lvlJc w:val="left"/>
      <w:pPr>
        <w:ind w:hanging="360" w:left="4283"/>
      </w:pPr>
      <w:rPr>
        <w:rFonts w:ascii="Courier New" w:cs="Courier New" w:hAnsi="Courier New" w:hint="default"/>
      </w:rPr>
    </w:lvl>
    <w:lvl w:ilvl="5" w:tentative="1" w:tplc="04090005">
      <w:start w:val="1"/>
      <w:numFmt w:val="bullet"/>
      <w:lvlText w:val=""/>
      <w:lvlJc w:val="left"/>
      <w:pPr>
        <w:ind w:hanging="360" w:left="5003"/>
      </w:pPr>
      <w:rPr>
        <w:rFonts w:ascii="Wingdings" w:hAnsi="Wingdings" w:hint="default"/>
      </w:rPr>
    </w:lvl>
    <w:lvl w:ilvl="6" w:tentative="1" w:tplc="04090001">
      <w:start w:val="1"/>
      <w:numFmt w:val="bullet"/>
      <w:lvlText w:val=""/>
      <w:lvlJc w:val="left"/>
      <w:pPr>
        <w:ind w:hanging="360" w:left="5723"/>
      </w:pPr>
      <w:rPr>
        <w:rFonts w:ascii="Symbol" w:hAnsi="Symbol" w:hint="default"/>
      </w:rPr>
    </w:lvl>
    <w:lvl w:ilvl="7" w:tentative="1" w:tplc="04090003">
      <w:start w:val="1"/>
      <w:numFmt w:val="bullet"/>
      <w:lvlText w:val="o"/>
      <w:lvlJc w:val="left"/>
      <w:pPr>
        <w:ind w:hanging="360" w:left="6443"/>
      </w:pPr>
      <w:rPr>
        <w:rFonts w:ascii="Courier New" w:cs="Courier New" w:hAnsi="Courier New" w:hint="default"/>
      </w:rPr>
    </w:lvl>
    <w:lvl w:ilvl="8" w:tentative="1" w:tplc="04090005">
      <w:start w:val="1"/>
      <w:numFmt w:val="bullet"/>
      <w:lvlText w:val=""/>
      <w:lvlJc w:val="left"/>
      <w:pPr>
        <w:ind w:hanging="360" w:left="7163"/>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733">
    <w:nsid w:val="00A99733"/>
    <w:multiLevelType w:val="multilevel"/>
    <w:lvl w:ilvl="0">
      <w:start w:val="3"/>
      <w:numFmt w:val="lowerLetter"/>
      <w:lvlText w:val="(%1)"/>
      <w:lvlJc w:val="left"/>
      <w:pPr>
        <w:ind w:left="720" w:hanging="360"/>
      </w:pPr>
    </w:lvl>
    <w:lvl w:ilvl="1">
      <w:start w:val="3"/>
      <w:numFmt w:val="lowerLetter"/>
      <w:lvlText w:val="(%2)"/>
      <w:lvlJc w:val="left"/>
      <w:pPr>
        <w:ind w:left="1440" w:hanging="360"/>
      </w:pPr>
    </w:lvl>
    <w:lvl w:ilvl="2">
      <w:start w:val="3"/>
      <w:numFmt w:val="lowerLetter"/>
      <w:lvlText w:val="(%3)"/>
      <w:lvlJc w:val="left"/>
      <w:pPr>
        <w:ind w:left="2160" w:hanging="360"/>
      </w:pPr>
    </w:lvl>
    <w:lvl w:ilvl="3">
      <w:start w:val="3"/>
      <w:numFmt w:val="lowerLetter"/>
      <w:lvlText w:val="(%4)"/>
      <w:lvlJc w:val="left"/>
      <w:pPr>
        <w:ind w:left="2880" w:hanging="360"/>
      </w:pPr>
    </w:lvl>
    <w:lvl w:ilvl="4">
      <w:start w:val="3"/>
      <w:numFmt w:val="lowerLetter"/>
      <w:lvlText w:val="(%5)"/>
      <w:lvlJc w:val="left"/>
      <w:pPr>
        <w:ind w:left="3600" w:hanging="360"/>
      </w:pPr>
    </w:lvl>
    <w:lvl w:ilvl="5">
      <w:start w:val="3"/>
      <w:numFmt w:val="lowerLetter"/>
      <w:lvlText w:val="(%6)"/>
      <w:lvlJc w:val="left"/>
      <w:pPr>
        <w:ind w:left="4320" w:hanging="360"/>
      </w:pPr>
    </w:lvl>
    <w:lvl w:ilvl="6">
      <w:start w:val="3"/>
      <w:numFmt w:val="lowerLetter"/>
      <w:lvlText w:val="(%7)"/>
      <w:lvlJc w:val="left"/>
      <w:pPr>
        <w:ind w:left="5040" w:hanging="360"/>
      </w:pPr>
    </w:lvl>
    <w:lvl w:ilvl="7">
      <w:start w:val="3"/>
      <w:numFmt w:val="lowerLetter"/>
      <w:lvlText w:val="(%8)"/>
      <w:lvlJc w:val="left"/>
      <w:pPr>
        <w:ind w:left="5760" w:hanging="360"/>
      </w:pPr>
    </w:lvl>
    <w:lvl w:ilvl="8">
      <w:start w:val="3"/>
      <w:numFmt w:val="lowerLetter"/>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78783281" w:numId="1">
    <w:abstractNumId w:val="5"/>
  </w:num>
  <w:num w16cid:durableId="1006516249" w:numId="2">
    <w:abstractNumId w:val="13"/>
  </w:num>
  <w:num w16cid:durableId="1366446891" w:numId="3">
    <w:abstractNumId w:val="4"/>
  </w:num>
  <w:num w16cid:durableId="1319072490" w:numId="4">
    <w:abstractNumId w:val="6"/>
  </w:num>
  <w:num w16cid:durableId="589773667" w:numId="5">
    <w:abstractNumId w:val="10"/>
  </w:num>
  <w:num w16cid:durableId="1941403742" w:numId="6">
    <w:abstractNumId w:val="2"/>
  </w:num>
  <w:num w16cid:durableId="1248535467" w:numId="7">
    <w:abstractNumId w:val="1"/>
  </w:num>
  <w:num w16cid:durableId="2043554903" w:numId="8">
    <w:abstractNumId w:val="0"/>
  </w:num>
  <w:num w16cid:durableId="749501479" w:numId="9">
    <w:abstractNumId w:val="9"/>
  </w:num>
  <w:num w16cid:durableId="2022585256" w:numId="10">
    <w:abstractNumId w:val="7"/>
  </w:num>
  <w:num w16cid:durableId="1401051458" w:numId="11">
    <w:abstractNumId w:val="12"/>
  </w:num>
  <w:num w16cid:durableId="1671981979" w:numId="12">
    <w:abstractNumId w:val="14"/>
  </w:num>
  <w:num w16cid:durableId="2094931157" w:numId="13">
    <w:abstractNumId w:val="10"/>
    <w:lvlOverride w:ilvl="0">
      <w:startOverride w:val="1"/>
    </w:lvlOverride>
  </w:num>
  <w:num w16cid:durableId="349377532" w:numId="14">
    <w:abstractNumId w:val="6"/>
    <w:lvlOverride w:ilvl="0">
      <w:startOverride w:val="1"/>
    </w:lvlOverride>
  </w:num>
  <w:num w16cid:durableId="308750664" w:numId="15">
    <w:abstractNumId w:val="3"/>
  </w:num>
  <w:num w16cid:durableId="1623341093" w:numId="16">
    <w:abstractNumId w:val="11"/>
  </w:num>
  <w:num w16cid:durableId="429593347" w:numId="17">
    <w:abstractNumId w:val="8"/>
  </w:num>
  <w:num w:numId="1000">
    <w:abstractNumId w:val="990"/>
  </w:num>
  <w:num w:numId="1001">
    <w:abstractNumId w:val="9973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2">
    <w:abstractNumId w:val="991"/>
  </w:num>
  <w:num w:numId="1003">
    <w:abstractNumId w:val="991"/>
  </w:num>
  <w:num w:numId="1004">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90"/>
  <w:embedSystemFonts/>
  <w:hideSpellingErrors/>
  <w:hideGrammaticalErrors/>
  <w:proofState w:grammar="clean" w:spelling="clean"/>
  <w:attachedTemplate r:id="rId1"/>
  <w:stylePaneFormatFilter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al="3F01" w:visibleStyles="0"/>
  <w:doNotTrackMoves/>
  <w:documentProtection w:edit="trackedChanges" w:enforcement="0"/>
  <w:defaultTabStop w:val="284"/>
  <w:doNotHyphenateCaps/>
  <w:drawingGridHorizontalSpacing w:val="100"/>
  <w:drawingGridVerticalSpacing w:val="360"/>
  <w:displayHorizontalDrawingGridEvery w:val="0"/>
  <w:displayVerticalDrawingGridEvery w:val="0"/>
  <w:doNotShadeFormData/>
  <w:noPunctuationKerning/>
  <w:characterSpacingControl w:val="doNotCompress"/>
  <w:savePreviewPicture/>
  <w:hdrShapeDefaults>
    <o:shapedefaults fillcolor="white" spidmax="2050" v:ext="edit">
      <v:fill color="white"/>
      <v:stroke weight=".25pt"/>
    </o:shapedefaults>
  </w:hdrShapeDefault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1A3E"/>
    <w:rsid w:val="000022D3"/>
    <w:rsid w:val="0000384D"/>
    <w:rsid w:val="000151FD"/>
    <w:rsid w:val="0001600E"/>
    <w:rsid w:val="00041DDD"/>
    <w:rsid w:val="00042630"/>
    <w:rsid w:val="000536C2"/>
    <w:rsid w:val="000565D9"/>
    <w:rsid w:val="000652B2"/>
    <w:rsid w:val="00067942"/>
    <w:rsid w:val="00070988"/>
    <w:rsid w:val="0007148F"/>
    <w:rsid w:val="00071920"/>
    <w:rsid w:val="00072C17"/>
    <w:rsid w:val="0007774F"/>
    <w:rsid w:val="00080A7B"/>
    <w:rsid w:val="00084C42"/>
    <w:rsid w:val="0008595E"/>
    <w:rsid w:val="00090BBE"/>
    <w:rsid w:val="00091EDB"/>
    <w:rsid w:val="000A1670"/>
    <w:rsid w:val="000A1D1C"/>
    <w:rsid w:val="000A68C6"/>
    <w:rsid w:val="000B299E"/>
    <w:rsid w:val="000B343D"/>
    <w:rsid w:val="000B524B"/>
    <w:rsid w:val="000B69A9"/>
    <w:rsid w:val="000C1E0E"/>
    <w:rsid w:val="000C4B89"/>
    <w:rsid w:val="000C6C0F"/>
    <w:rsid w:val="000C7C9A"/>
    <w:rsid w:val="000D4059"/>
    <w:rsid w:val="000D6914"/>
    <w:rsid w:val="000E1AA1"/>
    <w:rsid w:val="000E203C"/>
    <w:rsid w:val="000E5084"/>
    <w:rsid w:val="000E640E"/>
    <w:rsid w:val="000F0447"/>
    <w:rsid w:val="000F1776"/>
    <w:rsid w:val="000F2B33"/>
    <w:rsid w:val="0011067B"/>
    <w:rsid w:val="001238B5"/>
    <w:rsid w:val="001258E4"/>
    <w:rsid w:val="00127265"/>
    <w:rsid w:val="00131882"/>
    <w:rsid w:val="0013309B"/>
    <w:rsid w:val="001348AE"/>
    <w:rsid w:val="00145747"/>
    <w:rsid w:val="00147924"/>
    <w:rsid w:val="0015074B"/>
    <w:rsid w:val="0015170D"/>
    <w:rsid w:val="001521DF"/>
    <w:rsid w:val="001534F8"/>
    <w:rsid w:val="001536B5"/>
    <w:rsid w:val="0015416F"/>
    <w:rsid w:val="001543AD"/>
    <w:rsid w:val="0015571D"/>
    <w:rsid w:val="00161A65"/>
    <w:rsid w:val="00166707"/>
    <w:rsid w:val="0016730F"/>
    <w:rsid w:val="00172375"/>
    <w:rsid w:val="00176535"/>
    <w:rsid w:val="00176868"/>
    <w:rsid w:val="0017719C"/>
    <w:rsid w:val="0018117C"/>
    <w:rsid w:val="001817F3"/>
    <w:rsid w:val="00181CBF"/>
    <w:rsid w:val="00183462"/>
    <w:rsid w:val="00197244"/>
    <w:rsid w:val="001B1ACA"/>
    <w:rsid w:val="001B211B"/>
    <w:rsid w:val="001C254B"/>
    <w:rsid w:val="001C5D2C"/>
    <w:rsid w:val="001C67C6"/>
    <w:rsid w:val="001D7C27"/>
    <w:rsid w:val="001E10CB"/>
    <w:rsid w:val="001E16C0"/>
    <w:rsid w:val="001E5F05"/>
    <w:rsid w:val="001E73A3"/>
    <w:rsid w:val="001E7509"/>
    <w:rsid w:val="001F33D9"/>
    <w:rsid w:val="001F3880"/>
    <w:rsid w:val="001F4D0C"/>
    <w:rsid w:val="001F60E6"/>
    <w:rsid w:val="001F6248"/>
    <w:rsid w:val="00200D78"/>
    <w:rsid w:val="00201A90"/>
    <w:rsid w:val="002106E7"/>
    <w:rsid w:val="00212A56"/>
    <w:rsid w:val="0021334F"/>
    <w:rsid w:val="00213CEE"/>
    <w:rsid w:val="00216303"/>
    <w:rsid w:val="00221E89"/>
    <w:rsid w:val="0022206E"/>
    <w:rsid w:val="00235EE1"/>
    <w:rsid w:val="00236786"/>
    <w:rsid w:val="00243EE6"/>
    <w:rsid w:val="00245A9F"/>
    <w:rsid w:val="00251B91"/>
    <w:rsid w:val="00253832"/>
    <w:rsid w:val="00255BB7"/>
    <w:rsid w:val="002621D4"/>
    <w:rsid w:val="002664E6"/>
    <w:rsid w:val="002669AD"/>
    <w:rsid w:val="00267470"/>
    <w:rsid w:val="00270454"/>
    <w:rsid w:val="00274CC9"/>
    <w:rsid w:val="002802B9"/>
    <w:rsid w:val="002904EF"/>
    <w:rsid w:val="0029123E"/>
    <w:rsid w:val="002935BE"/>
    <w:rsid w:val="00296E38"/>
    <w:rsid w:val="002A4709"/>
    <w:rsid w:val="002C31BD"/>
    <w:rsid w:val="002C3FAB"/>
    <w:rsid w:val="002C411B"/>
    <w:rsid w:val="002D0A84"/>
    <w:rsid w:val="002D1521"/>
    <w:rsid w:val="002D2A2D"/>
    <w:rsid w:val="002D7308"/>
    <w:rsid w:val="002E1900"/>
    <w:rsid w:val="002E1D92"/>
    <w:rsid w:val="002E7566"/>
    <w:rsid w:val="002F0E64"/>
    <w:rsid w:val="002F28F5"/>
    <w:rsid w:val="002F3AEA"/>
    <w:rsid w:val="002F656E"/>
    <w:rsid w:val="002F6674"/>
    <w:rsid w:val="003016BB"/>
    <w:rsid w:val="00307F82"/>
    <w:rsid w:val="00312145"/>
    <w:rsid w:val="0031414C"/>
    <w:rsid w:val="003167CA"/>
    <w:rsid w:val="00322904"/>
    <w:rsid w:val="003235B3"/>
    <w:rsid w:val="00325E5A"/>
    <w:rsid w:val="00325EA3"/>
    <w:rsid w:val="0032615D"/>
    <w:rsid w:val="00332B40"/>
    <w:rsid w:val="003417BF"/>
    <w:rsid w:val="00341F87"/>
    <w:rsid w:val="003473AB"/>
    <w:rsid w:val="00347732"/>
    <w:rsid w:val="00356721"/>
    <w:rsid w:val="00363991"/>
    <w:rsid w:val="0037012F"/>
    <w:rsid w:val="00372A84"/>
    <w:rsid w:val="003752F8"/>
    <w:rsid w:val="00381432"/>
    <w:rsid w:val="00381DE7"/>
    <w:rsid w:val="0038379B"/>
    <w:rsid w:val="00384556"/>
    <w:rsid w:val="00386CC5"/>
    <w:rsid w:val="00386FFB"/>
    <w:rsid w:val="003974DA"/>
    <w:rsid w:val="003A0447"/>
    <w:rsid w:val="003B18C6"/>
    <w:rsid w:val="003C033B"/>
    <w:rsid w:val="003C0A43"/>
    <w:rsid w:val="003C277B"/>
    <w:rsid w:val="003C28F1"/>
    <w:rsid w:val="003C33CB"/>
    <w:rsid w:val="003C3CAA"/>
    <w:rsid w:val="003C3D1F"/>
    <w:rsid w:val="003C7FCA"/>
    <w:rsid w:val="003D1467"/>
    <w:rsid w:val="003D4E95"/>
    <w:rsid w:val="003D6202"/>
    <w:rsid w:val="003E3A57"/>
    <w:rsid w:val="003F0A46"/>
    <w:rsid w:val="0040203B"/>
    <w:rsid w:val="00402A88"/>
    <w:rsid w:val="004041C4"/>
    <w:rsid w:val="00405B2A"/>
    <w:rsid w:val="00406964"/>
    <w:rsid w:val="00407AC1"/>
    <w:rsid w:val="004102C9"/>
    <w:rsid w:val="00412087"/>
    <w:rsid w:val="00422E57"/>
    <w:rsid w:val="00423331"/>
    <w:rsid w:val="00423D9B"/>
    <w:rsid w:val="00424765"/>
    <w:rsid w:val="00424964"/>
    <w:rsid w:val="004279C7"/>
    <w:rsid w:val="004327B9"/>
    <w:rsid w:val="0043352A"/>
    <w:rsid w:val="00436775"/>
    <w:rsid w:val="00443A2A"/>
    <w:rsid w:val="0046449A"/>
    <w:rsid w:val="0046652A"/>
    <w:rsid w:val="0047066D"/>
    <w:rsid w:val="00474402"/>
    <w:rsid w:val="00485999"/>
    <w:rsid w:val="00485ED0"/>
    <w:rsid w:val="004A16A6"/>
    <w:rsid w:val="004A1E38"/>
    <w:rsid w:val="004A3E68"/>
    <w:rsid w:val="004A417C"/>
    <w:rsid w:val="004A5A4F"/>
    <w:rsid w:val="004B21DC"/>
    <w:rsid w:val="004B2C68"/>
    <w:rsid w:val="004C5606"/>
    <w:rsid w:val="004C6258"/>
    <w:rsid w:val="004D6D1E"/>
    <w:rsid w:val="004E03A2"/>
    <w:rsid w:val="004E1F6C"/>
    <w:rsid w:val="004E4009"/>
    <w:rsid w:val="004E5759"/>
    <w:rsid w:val="004E683B"/>
    <w:rsid w:val="004E7EBB"/>
    <w:rsid w:val="004F4407"/>
    <w:rsid w:val="004F5943"/>
    <w:rsid w:val="004F6B84"/>
    <w:rsid w:val="0050474A"/>
    <w:rsid w:val="00507D39"/>
    <w:rsid w:val="00510594"/>
    <w:rsid w:val="005136D1"/>
    <w:rsid w:val="00513AE8"/>
    <w:rsid w:val="00515A34"/>
    <w:rsid w:val="00523B6A"/>
    <w:rsid w:val="00526237"/>
    <w:rsid w:val="0053105B"/>
    <w:rsid w:val="00532DEB"/>
    <w:rsid w:val="005453A7"/>
    <w:rsid w:val="005453D4"/>
    <w:rsid w:val="00547161"/>
    <w:rsid w:val="00550948"/>
    <w:rsid w:val="005552D7"/>
    <w:rsid w:val="00562640"/>
    <w:rsid w:val="00563886"/>
    <w:rsid w:val="00564D7A"/>
    <w:rsid w:val="00565622"/>
    <w:rsid w:val="00565ECD"/>
    <w:rsid w:val="0056624A"/>
    <w:rsid w:val="005726D2"/>
    <w:rsid w:val="00572E1C"/>
    <w:rsid w:val="00577356"/>
    <w:rsid w:val="00582898"/>
    <w:rsid w:val="005835AD"/>
    <w:rsid w:val="005843E2"/>
    <w:rsid w:val="00585E1B"/>
    <w:rsid w:val="0059055D"/>
    <w:rsid w:val="0059114D"/>
    <w:rsid w:val="0059159A"/>
    <w:rsid w:val="0059474F"/>
    <w:rsid w:val="00596098"/>
    <w:rsid w:val="00597AC5"/>
    <w:rsid w:val="005A1B3F"/>
    <w:rsid w:val="005A2376"/>
    <w:rsid w:val="005A646A"/>
    <w:rsid w:val="005A7F74"/>
    <w:rsid w:val="005B368E"/>
    <w:rsid w:val="005B6001"/>
    <w:rsid w:val="005C1401"/>
    <w:rsid w:val="005C23E3"/>
    <w:rsid w:val="005C2C58"/>
    <w:rsid w:val="005C49E5"/>
    <w:rsid w:val="005C4FCF"/>
    <w:rsid w:val="005C7C32"/>
    <w:rsid w:val="005D044B"/>
    <w:rsid w:val="005D0A60"/>
    <w:rsid w:val="005D0A6A"/>
    <w:rsid w:val="005D230E"/>
    <w:rsid w:val="005E0EAE"/>
    <w:rsid w:val="005E1047"/>
    <w:rsid w:val="005E380C"/>
    <w:rsid w:val="005E3982"/>
    <w:rsid w:val="005E447D"/>
    <w:rsid w:val="005E77DD"/>
    <w:rsid w:val="005F21C0"/>
    <w:rsid w:val="005F24BE"/>
    <w:rsid w:val="005F6654"/>
    <w:rsid w:val="005F7EE5"/>
    <w:rsid w:val="00604E32"/>
    <w:rsid w:val="00610843"/>
    <w:rsid w:val="0061334F"/>
    <w:rsid w:val="006136AC"/>
    <w:rsid w:val="00614C67"/>
    <w:rsid w:val="00623015"/>
    <w:rsid w:val="006313B6"/>
    <w:rsid w:val="00640591"/>
    <w:rsid w:val="006502E1"/>
    <w:rsid w:val="00652974"/>
    <w:rsid w:val="00653A3B"/>
    <w:rsid w:val="00655A98"/>
    <w:rsid w:val="00656804"/>
    <w:rsid w:val="006569D6"/>
    <w:rsid w:val="00656AE6"/>
    <w:rsid w:val="00665747"/>
    <w:rsid w:val="00665A79"/>
    <w:rsid w:val="00667EEB"/>
    <w:rsid w:val="006713D9"/>
    <w:rsid w:val="00672201"/>
    <w:rsid w:val="00676380"/>
    <w:rsid w:val="00676800"/>
    <w:rsid w:val="00690494"/>
    <w:rsid w:val="00692391"/>
    <w:rsid w:val="006925C7"/>
    <w:rsid w:val="00692A8B"/>
    <w:rsid w:val="0069368B"/>
    <w:rsid w:val="0069374F"/>
    <w:rsid w:val="006938FD"/>
    <w:rsid w:val="00693CB0"/>
    <w:rsid w:val="00696D14"/>
    <w:rsid w:val="006A17C3"/>
    <w:rsid w:val="006A2032"/>
    <w:rsid w:val="006A2BB6"/>
    <w:rsid w:val="006A339F"/>
    <w:rsid w:val="006A4779"/>
    <w:rsid w:val="006A6471"/>
    <w:rsid w:val="006A7443"/>
    <w:rsid w:val="006B1A97"/>
    <w:rsid w:val="006B246A"/>
    <w:rsid w:val="006B4EF3"/>
    <w:rsid w:val="006B6334"/>
    <w:rsid w:val="006B7B76"/>
    <w:rsid w:val="006C070E"/>
    <w:rsid w:val="006C294E"/>
    <w:rsid w:val="006C7924"/>
    <w:rsid w:val="006D2543"/>
    <w:rsid w:val="006D4E50"/>
    <w:rsid w:val="006D6F5F"/>
    <w:rsid w:val="006D6FB4"/>
    <w:rsid w:val="006E23AC"/>
    <w:rsid w:val="006E2910"/>
    <w:rsid w:val="006E5D06"/>
    <w:rsid w:val="006F175D"/>
    <w:rsid w:val="006F1F66"/>
    <w:rsid w:val="006F2B62"/>
    <w:rsid w:val="006F4E71"/>
    <w:rsid w:val="007000AF"/>
    <w:rsid w:val="00700C47"/>
    <w:rsid w:val="00700DFD"/>
    <w:rsid w:val="00703E81"/>
    <w:rsid w:val="007048F5"/>
    <w:rsid w:val="00705A81"/>
    <w:rsid w:val="00722707"/>
    <w:rsid w:val="0073157F"/>
    <w:rsid w:val="00735149"/>
    <w:rsid w:val="00740E26"/>
    <w:rsid w:val="00741C9A"/>
    <w:rsid w:val="00743F24"/>
    <w:rsid w:val="00745924"/>
    <w:rsid w:val="007462C1"/>
    <w:rsid w:val="007516EA"/>
    <w:rsid w:val="00755B41"/>
    <w:rsid w:val="00763891"/>
    <w:rsid w:val="00764625"/>
    <w:rsid w:val="00765229"/>
    <w:rsid w:val="007656C4"/>
    <w:rsid w:val="00770308"/>
    <w:rsid w:val="00772376"/>
    <w:rsid w:val="00780A13"/>
    <w:rsid w:val="00787554"/>
    <w:rsid w:val="007921DF"/>
    <w:rsid w:val="00795B37"/>
    <w:rsid w:val="0079733E"/>
    <w:rsid w:val="007A4BD5"/>
    <w:rsid w:val="007A7826"/>
    <w:rsid w:val="007B0409"/>
    <w:rsid w:val="007B55FC"/>
    <w:rsid w:val="007C062E"/>
    <w:rsid w:val="007C2C07"/>
    <w:rsid w:val="007C53DD"/>
    <w:rsid w:val="007C57D7"/>
    <w:rsid w:val="007E3E8D"/>
    <w:rsid w:val="007E501E"/>
    <w:rsid w:val="007E509C"/>
    <w:rsid w:val="007F2CA0"/>
    <w:rsid w:val="007F799F"/>
    <w:rsid w:val="00801EEE"/>
    <w:rsid w:val="00802159"/>
    <w:rsid w:val="00802AA2"/>
    <w:rsid w:val="008066A4"/>
    <w:rsid w:val="008133FB"/>
    <w:rsid w:val="00817557"/>
    <w:rsid w:val="00827216"/>
    <w:rsid w:val="00832AC4"/>
    <w:rsid w:val="00834664"/>
    <w:rsid w:val="00843639"/>
    <w:rsid w:val="008501D1"/>
    <w:rsid w:val="00855428"/>
    <w:rsid w:val="00855B78"/>
    <w:rsid w:val="00856B59"/>
    <w:rsid w:val="008628ED"/>
    <w:rsid w:val="00866A3B"/>
    <w:rsid w:val="00866A69"/>
    <w:rsid w:val="00872BCC"/>
    <w:rsid w:val="00874BAD"/>
    <w:rsid w:val="00880453"/>
    <w:rsid w:val="008849A4"/>
    <w:rsid w:val="00887E84"/>
    <w:rsid w:val="00897721"/>
    <w:rsid w:val="00897FD9"/>
    <w:rsid w:val="008A72EF"/>
    <w:rsid w:val="008A7A1E"/>
    <w:rsid w:val="008B6796"/>
    <w:rsid w:val="008B6C12"/>
    <w:rsid w:val="008C2EE7"/>
    <w:rsid w:val="008C32AD"/>
    <w:rsid w:val="008D23CA"/>
    <w:rsid w:val="008D4DD8"/>
    <w:rsid w:val="008D6431"/>
    <w:rsid w:val="008E49C5"/>
    <w:rsid w:val="008E5D16"/>
    <w:rsid w:val="008E6265"/>
    <w:rsid w:val="008F02A4"/>
    <w:rsid w:val="00900379"/>
    <w:rsid w:val="00904FBA"/>
    <w:rsid w:val="00905E53"/>
    <w:rsid w:val="00911915"/>
    <w:rsid w:val="00912B83"/>
    <w:rsid w:val="00926B54"/>
    <w:rsid w:val="0092781D"/>
    <w:rsid w:val="00927ACF"/>
    <w:rsid w:val="00927DA2"/>
    <w:rsid w:val="00930B49"/>
    <w:rsid w:val="0093103F"/>
    <w:rsid w:val="0093116E"/>
    <w:rsid w:val="00936522"/>
    <w:rsid w:val="0094131F"/>
    <w:rsid w:val="009448A4"/>
    <w:rsid w:val="00946D60"/>
    <w:rsid w:val="009475E6"/>
    <w:rsid w:val="009476B5"/>
    <w:rsid w:val="00951E49"/>
    <w:rsid w:val="00953C3A"/>
    <w:rsid w:val="009546CA"/>
    <w:rsid w:val="00955BD7"/>
    <w:rsid w:val="00957655"/>
    <w:rsid w:val="00957F4F"/>
    <w:rsid w:val="009623E0"/>
    <w:rsid w:val="00964903"/>
    <w:rsid w:val="0096626B"/>
    <w:rsid w:val="009709E5"/>
    <w:rsid w:val="00974394"/>
    <w:rsid w:val="009749C5"/>
    <w:rsid w:val="00986654"/>
    <w:rsid w:val="00995BDD"/>
    <w:rsid w:val="0099655B"/>
    <w:rsid w:val="009A0EC9"/>
    <w:rsid w:val="009A500B"/>
    <w:rsid w:val="009A6372"/>
    <w:rsid w:val="009B1594"/>
    <w:rsid w:val="009B22D4"/>
    <w:rsid w:val="009C2564"/>
    <w:rsid w:val="009D27D6"/>
    <w:rsid w:val="009E043E"/>
    <w:rsid w:val="009E059D"/>
    <w:rsid w:val="009E19AF"/>
    <w:rsid w:val="009E5DBF"/>
    <w:rsid w:val="009E5FB7"/>
    <w:rsid w:val="009F06B5"/>
    <w:rsid w:val="009F2CD4"/>
    <w:rsid w:val="009F5486"/>
    <w:rsid w:val="009F7190"/>
    <w:rsid w:val="009F786F"/>
    <w:rsid w:val="00A011D6"/>
    <w:rsid w:val="00A018E5"/>
    <w:rsid w:val="00A03D3B"/>
    <w:rsid w:val="00A051AD"/>
    <w:rsid w:val="00A11B1E"/>
    <w:rsid w:val="00A200F0"/>
    <w:rsid w:val="00A23691"/>
    <w:rsid w:val="00A23D48"/>
    <w:rsid w:val="00A249D9"/>
    <w:rsid w:val="00A25E97"/>
    <w:rsid w:val="00A3530F"/>
    <w:rsid w:val="00A4211F"/>
    <w:rsid w:val="00A449E8"/>
    <w:rsid w:val="00A52A83"/>
    <w:rsid w:val="00A6262E"/>
    <w:rsid w:val="00A62A41"/>
    <w:rsid w:val="00A6678C"/>
    <w:rsid w:val="00A66B95"/>
    <w:rsid w:val="00A723D1"/>
    <w:rsid w:val="00A73DF4"/>
    <w:rsid w:val="00A76353"/>
    <w:rsid w:val="00AA1091"/>
    <w:rsid w:val="00AA1793"/>
    <w:rsid w:val="00AA2609"/>
    <w:rsid w:val="00AB0309"/>
    <w:rsid w:val="00AB741E"/>
    <w:rsid w:val="00AC3CE2"/>
    <w:rsid w:val="00AC5735"/>
    <w:rsid w:val="00AC6D30"/>
    <w:rsid w:val="00AD2C29"/>
    <w:rsid w:val="00AD755F"/>
    <w:rsid w:val="00AE17CE"/>
    <w:rsid w:val="00AE2D24"/>
    <w:rsid w:val="00AE423D"/>
    <w:rsid w:val="00AE73BA"/>
    <w:rsid w:val="00AF3504"/>
    <w:rsid w:val="00B07799"/>
    <w:rsid w:val="00B07A64"/>
    <w:rsid w:val="00B10E6C"/>
    <w:rsid w:val="00B12C88"/>
    <w:rsid w:val="00B1314D"/>
    <w:rsid w:val="00B13366"/>
    <w:rsid w:val="00B207B1"/>
    <w:rsid w:val="00B20FC6"/>
    <w:rsid w:val="00B2124E"/>
    <w:rsid w:val="00B30E77"/>
    <w:rsid w:val="00B35444"/>
    <w:rsid w:val="00B474CC"/>
    <w:rsid w:val="00B519BD"/>
    <w:rsid w:val="00B522D2"/>
    <w:rsid w:val="00B53072"/>
    <w:rsid w:val="00B553EE"/>
    <w:rsid w:val="00B55770"/>
    <w:rsid w:val="00B63D98"/>
    <w:rsid w:val="00B6424A"/>
    <w:rsid w:val="00B65F20"/>
    <w:rsid w:val="00B70362"/>
    <w:rsid w:val="00B70CF9"/>
    <w:rsid w:val="00B72423"/>
    <w:rsid w:val="00B73DE0"/>
    <w:rsid w:val="00B81A2A"/>
    <w:rsid w:val="00B92D31"/>
    <w:rsid w:val="00B97330"/>
    <w:rsid w:val="00B97B9F"/>
    <w:rsid w:val="00BA6835"/>
    <w:rsid w:val="00BB0B51"/>
    <w:rsid w:val="00BB4716"/>
    <w:rsid w:val="00BB49C0"/>
    <w:rsid w:val="00BB6418"/>
    <w:rsid w:val="00BC0537"/>
    <w:rsid w:val="00BC0A87"/>
    <w:rsid w:val="00BC3249"/>
    <w:rsid w:val="00BC33F7"/>
    <w:rsid w:val="00BC3808"/>
    <w:rsid w:val="00BC3A1D"/>
    <w:rsid w:val="00BC7977"/>
    <w:rsid w:val="00BD2C8E"/>
    <w:rsid w:val="00BD30A0"/>
    <w:rsid w:val="00BD46D3"/>
    <w:rsid w:val="00BD59F6"/>
    <w:rsid w:val="00BD5BBA"/>
    <w:rsid w:val="00BD5CBB"/>
    <w:rsid w:val="00BD7096"/>
    <w:rsid w:val="00BE12DA"/>
    <w:rsid w:val="00BE1674"/>
    <w:rsid w:val="00BE1693"/>
    <w:rsid w:val="00BE2FEC"/>
    <w:rsid w:val="00BE3E6A"/>
    <w:rsid w:val="00BE40DE"/>
    <w:rsid w:val="00BE543E"/>
    <w:rsid w:val="00BF2858"/>
    <w:rsid w:val="00BF4565"/>
    <w:rsid w:val="00C03C0C"/>
    <w:rsid w:val="00C05E06"/>
    <w:rsid w:val="00C24038"/>
    <w:rsid w:val="00C24F36"/>
    <w:rsid w:val="00C25BC9"/>
    <w:rsid w:val="00C31CB4"/>
    <w:rsid w:val="00C32ABA"/>
    <w:rsid w:val="00C32CBB"/>
    <w:rsid w:val="00C34785"/>
    <w:rsid w:val="00C34A4D"/>
    <w:rsid w:val="00C40550"/>
    <w:rsid w:val="00C41017"/>
    <w:rsid w:val="00C438F1"/>
    <w:rsid w:val="00C44B7E"/>
    <w:rsid w:val="00C463F1"/>
    <w:rsid w:val="00C52119"/>
    <w:rsid w:val="00C564C2"/>
    <w:rsid w:val="00C62AE6"/>
    <w:rsid w:val="00C64373"/>
    <w:rsid w:val="00C666E2"/>
    <w:rsid w:val="00C675BF"/>
    <w:rsid w:val="00C73B08"/>
    <w:rsid w:val="00C74DAA"/>
    <w:rsid w:val="00C7510B"/>
    <w:rsid w:val="00C82813"/>
    <w:rsid w:val="00C82DE6"/>
    <w:rsid w:val="00C905E4"/>
    <w:rsid w:val="00C939F7"/>
    <w:rsid w:val="00C96845"/>
    <w:rsid w:val="00C97EED"/>
    <w:rsid w:val="00CA1F6E"/>
    <w:rsid w:val="00CA3550"/>
    <w:rsid w:val="00CA383B"/>
    <w:rsid w:val="00CB6E33"/>
    <w:rsid w:val="00CC0490"/>
    <w:rsid w:val="00CC3B85"/>
    <w:rsid w:val="00CC4DD9"/>
    <w:rsid w:val="00CD386D"/>
    <w:rsid w:val="00CD4847"/>
    <w:rsid w:val="00CD4AD2"/>
    <w:rsid w:val="00CD5626"/>
    <w:rsid w:val="00CE407D"/>
    <w:rsid w:val="00CE6F23"/>
    <w:rsid w:val="00CE70D8"/>
    <w:rsid w:val="00CE7483"/>
    <w:rsid w:val="00CF6106"/>
    <w:rsid w:val="00D050B3"/>
    <w:rsid w:val="00D10065"/>
    <w:rsid w:val="00D102DB"/>
    <w:rsid w:val="00D203DB"/>
    <w:rsid w:val="00D2072D"/>
    <w:rsid w:val="00D211C9"/>
    <w:rsid w:val="00D32A8E"/>
    <w:rsid w:val="00D34B7D"/>
    <w:rsid w:val="00D35943"/>
    <w:rsid w:val="00D35D58"/>
    <w:rsid w:val="00D37DA4"/>
    <w:rsid w:val="00D41F25"/>
    <w:rsid w:val="00D4488F"/>
    <w:rsid w:val="00D44988"/>
    <w:rsid w:val="00D46B68"/>
    <w:rsid w:val="00D50384"/>
    <w:rsid w:val="00D51DB2"/>
    <w:rsid w:val="00D52549"/>
    <w:rsid w:val="00D530F5"/>
    <w:rsid w:val="00D57D73"/>
    <w:rsid w:val="00D602F3"/>
    <w:rsid w:val="00D608DE"/>
    <w:rsid w:val="00D631CF"/>
    <w:rsid w:val="00D64229"/>
    <w:rsid w:val="00D64E25"/>
    <w:rsid w:val="00D67FD1"/>
    <w:rsid w:val="00D706FA"/>
    <w:rsid w:val="00D72ED4"/>
    <w:rsid w:val="00D7365C"/>
    <w:rsid w:val="00D7373D"/>
    <w:rsid w:val="00D778F4"/>
    <w:rsid w:val="00D822E3"/>
    <w:rsid w:val="00D9365F"/>
    <w:rsid w:val="00DA54FE"/>
    <w:rsid w:val="00DA57DD"/>
    <w:rsid w:val="00DA73A7"/>
    <w:rsid w:val="00DB0265"/>
    <w:rsid w:val="00DB081D"/>
    <w:rsid w:val="00DB21B1"/>
    <w:rsid w:val="00DB2BB9"/>
    <w:rsid w:val="00DB3DC2"/>
    <w:rsid w:val="00DB59ED"/>
    <w:rsid w:val="00DB6073"/>
    <w:rsid w:val="00DB7F94"/>
    <w:rsid w:val="00DC0EE0"/>
    <w:rsid w:val="00DC2B0B"/>
    <w:rsid w:val="00DC6FF7"/>
    <w:rsid w:val="00DC7E33"/>
    <w:rsid w:val="00DD3800"/>
    <w:rsid w:val="00DD4BC8"/>
    <w:rsid w:val="00DD4E9B"/>
    <w:rsid w:val="00DD6833"/>
    <w:rsid w:val="00DD6FE2"/>
    <w:rsid w:val="00DE427D"/>
    <w:rsid w:val="00DE5518"/>
    <w:rsid w:val="00DF036E"/>
    <w:rsid w:val="00E00224"/>
    <w:rsid w:val="00E018DF"/>
    <w:rsid w:val="00E034D0"/>
    <w:rsid w:val="00E03BEA"/>
    <w:rsid w:val="00E045BF"/>
    <w:rsid w:val="00E05319"/>
    <w:rsid w:val="00E10027"/>
    <w:rsid w:val="00E12639"/>
    <w:rsid w:val="00E16F20"/>
    <w:rsid w:val="00E208AF"/>
    <w:rsid w:val="00E26E67"/>
    <w:rsid w:val="00E278AD"/>
    <w:rsid w:val="00E3365A"/>
    <w:rsid w:val="00E339B6"/>
    <w:rsid w:val="00E34C84"/>
    <w:rsid w:val="00E35718"/>
    <w:rsid w:val="00E44D5B"/>
    <w:rsid w:val="00E513AF"/>
    <w:rsid w:val="00E60EF5"/>
    <w:rsid w:val="00E62227"/>
    <w:rsid w:val="00E632F6"/>
    <w:rsid w:val="00E6604D"/>
    <w:rsid w:val="00E71852"/>
    <w:rsid w:val="00E827CD"/>
    <w:rsid w:val="00E87A41"/>
    <w:rsid w:val="00E90F4D"/>
    <w:rsid w:val="00E92334"/>
    <w:rsid w:val="00E92F05"/>
    <w:rsid w:val="00E94C2B"/>
    <w:rsid w:val="00E95952"/>
    <w:rsid w:val="00E96797"/>
    <w:rsid w:val="00EA45D8"/>
    <w:rsid w:val="00EA530F"/>
    <w:rsid w:val="00EB0B85"/>
    <w:rsid w:val="00EB33D5"/>
    <w:rsid w:val="00EC2065"/>
    <w:rsid w:val="00EC4581"/>
    <w:rsid w:val="00EC5D86"/>
    <w:rsid w:val="00ED34DE"/>
    <w:rsid w:val="00EE7945"/>
    <w:rsid w:val="00EF27CF"/>
    <w:rsid w:val="00EF5694"/>
    <w:rsid w:val="00F0063F"/>
    <w:rsid w:val="00F025C8"/>
    <w:rsid w:val="00F1040A"/>
    <w:rsid w:val="00F12DD3"/>
    <w:rsid w:val="00F17D96"/>
    <w:rsid w:val="00F2304C"/>
    <w:rsid w:val="00F2529C"/>
    <w:rsid w:val="00F359D2"/>
    <w:rsid w:val="00F4236C"/>
    <w:rsid w:val="00F46FF5"/>
    <w:rsid w:val="00F51CF0"/>
    <w:rsid w:val="00F53001"/>
    <w:rsid w:val="00F54D73"/>
    <w:rsid w:val="00F57D30"/>
    <w:rsid w:val="00F6184E"/>
    <w:rsid w:val="00F66BC7"/>
    <w:rsid w:val="00F71FF5"/>
    <w:rsid w:val="00F84AEA"/>
    <w:rsid w:val="00F85EA7"/>
    <w:rsid w:val="00F86485"/>
    <w:rsid w:val="00F86D8F"/>
    <w:rsid w:val="00F8730E"/>
    <w:rsid w:val="00F90041"/>
    <w:rsid w:val="00F91D49"/>
    <w:rsid w:val="00F92B63"/>
    <w:rsid w:val="00F95A0B"/>
    <w:rsid w:val="00FA2A91"/>
    <w:rsid w:val="00FA527F"/>
    <w:rsid w:val="00FC17F5"/>
    <w:rsid w:val="00FC730A"/>
    <w:rsid w:val="00FD4016"/>
    <w:rsid w:val="00FD5764"/>
    <w:rsid w:val="00FE178B"/>
    <w:rsid w:val="00FE441A"/>
    <w:rsid w:val="00FE5639"/>
    <w:rsid w:val="00FF36BA"/>
    <w:rsid w:val="00FF41EA"/>
    <w:rsid w:val="00FF500A"/>
    <w:rsid w:val="00FF63C8"/>
    <w:rsid w:val="00FF76C3"/>
    <w:rsid w:val="00FF7811"/>
  </w:rsids>
  <w:themeFontLang w:val="en-GB"/>
  <w:clrSchemeMapping w:accent1="accent1" w:accent2="accent2" w:accent3="accent3" w:accent4="accent4" w:accent5="accent5" w:accent6="accent6" w:bg1="light1" w:bg2="light2" w:followedHyperlink="followedHyperlink" w:hyperlink="hyperlink" w:t1="dark1" w:t2="dark2"/>
  <w:doNotIncludeSubdocsInStats/>
  <w:shapeDefaults>
    <o:shapedefaults fillcolor="white" spidmax="2050" v:ext="edit">
      <v:fill color="white"/>
      <v:stroke weight=".25pt"/>
    </o:shapedefaults>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E35718"/>
    <w:pPr>
      <w:overflowPunct w:val="0"/>
      <w:autoSpaceDE w:val="0"/>
      <w:autoSpaceDN w:val="0"/>
      <w:adjustRightInd w:val="0"/>
      <w:spacing w:after="180"/>
      <w:textAlignment w:val="baseline"/>
    </w:pPr>
    <w:rPr>
      <w:lang w:eastAsia="en-US"/>
    </w:rPr>
  </w:style>
  <w:style w:styleId="Heading1" w:type="paragraph">
    <w:name w:val="heading 1"/>
    <w:next w:val="Normal"/>
    <w:link w:val="Heading1Char"/>
    <w:qFormat/>
    <w:rsid w:val="00407AC1"/>
    <w:pPr>
      <w:keepNext/>
      <w:keepLines/>
      <w:pageBreakBefore/>
      <w:pBdr>
        <w:top w:color="auto" w:space="3" w:sz="12" w:val="single"/>
      </w:pBdr>
      <w:overflowPunct w:val="0"/>
      <w:autoSpaceDE w:val="0"/>
      <w:autoSpaceDN w:val="0"/>
      <w:adjustRightInd w:val="0"/>
      <w:spacing w:after="180" w:before="240"/>
      <w:textAlignment w:val="baseline"/>
      <w:outlineLvl w:val="0"/>
    </w:pPr>
    <w:rPr>
      <w:rFonts w:ascii="Arial" w:hAnsi="Arial"/>
      <w:sz w:val="36"/>
      <w:lang w:eastAsia="en-US"/>
    </w:rPr>
  </w:style>
  <w:style w:styleId="Heading2" w:type="paragraph">
    <w:name w:val="heading 2"/>
    <w:basedOn w:val="Heading1"/>
    <w:next w:val="Normal"/>
    <w:link w:val="Heading2Char"/>
    <w:qFormat/>
    <w:rsid w:val="00407AC1"/>
    <w:pPr>
      <w:pageBreakBefore w:val="0"/>
      <w:numPr>
        <w:ilvl w:val="1"/>
      </w:numPr>
      <w:pBdr>
        <w:top w:color="auto" w:space="0" w:sz="0" w:val="none"/>
      </w:pBdr>
      <w:spacing w:before="180"/>
      <w:outlineLvl w:val="1"/>
    </w:pPr>
    <w:rPr>
      <w:sz w:val="32"/>
    </w:rPr>
  </w:style>
  <w:style w:styleId="Heading3" w:type="paragraph">
    <w:name w:val="heading 3"/>
    <w:basedOn w:val="Heading2"/>
    <w:next w:val="Normal"/>
    <w:link w:val="Heading3Char"/>
    <w:qFormat/>
    <w:rsid w:val="00802AA2"/>
    <w:pPr>
      <w:numPr>
        <w:ilvl w:val="2"/>
      </w:numPr>
      <w:spacing w:before="120"/>
      <w:outlineLvl w:val="2"/>
    </w:pPr>
    <w:rPr>
      <w:sz w:val="28"/>
    </w:rPr>
  </w:style>
  <w:style w:styleId="Heading4" w:type="paragraph">
    <w:name w:val="heading 4"/>
    <w:basedOn w:val="Heading3"/>
    <w:next w:val="Normal"/>
    <w:qFormat/>
    <w:rsid w:val="00802AA2"/>
    <w:pPr>
      <w:numPr>
        <w:ilvl w:val="3"/>
      </w:numPr>
      <w:outlineLvl w:val="3"/>
    </w:pPr>
    <w:rPr>
      <w:sz w:val="24"/>
    </w:rPr>
  </w:style>
  <w:style w:styleId="Heading5" w:type="paragraph">
    <w:name w:val="heading 5"/>
    <w:basedOn w:val="Heading4"/>
    <w:next w:val="Normal"/>
    <w:qFormat/>
    <w:rsid w:val="00802AA2"/>
    <w:pPr>
      <w:numPr>
        <w:ilvl w:val="4"/>
      </w:numPr>
      <w:outlineLvl w:val="4"/>
    </w:pPr>
    <w:rPr>
      <w:sz w:val="22"/>
    </w:rPr>
  </w:style>
  <w:style w:styleId="Heading6" w:type="paragraph">
    <w:name w:val="heading 6"/>
    <w:basedOn w:val="H6"/>
    <w:next w:val="Normal"/>
    <w:qFormat/>
    <w:rsid w:val="00802AA2"/>
    <w:pPr>
      <w:numPr>
        <w:ilvl w:val="5"/>
      </w:numPr>
      <w:ind w:hanging="1985" w:left="1985"/>
      <w:outlineLvl w:val="5"/>
    </w:pPr>
  </w:style>
  <w:style w:styleId="Heading7" w:type="paragraph">
    <w:name w:val="heading 7"/>
    <w:basedOn w:val="H6"/>
    <w:next w:val="Normal"/>
    <w:qFormat/>
    <w:rsid w:val="00802AA2"/>
    <w:pPr>
      <w:numPr>
        <w:ilvl w:val="6"/>
      </w:numPr>
      <w:ind w:hanging="1985" w:left="1985"/>
      <w:outlineLvl w:val="6"/>
    </w:pPr>
  </w:style>
  <w:style w:styleId="Heading8" w:type="paragraph">
    <w:name w:val="heading 8"/>
    <w:basedOn w:val="Heading1"/>
    <w:next w:val="Normal"/>
    <w:qFormat/>
    <w:rsid w:val="00802AA2"/>
    <w:pPr>
      <w:numPr>
        <w:ilvl w:val="7"/>
      </w:numPr>
      <w:outlineLvl w:val="7"/>
    </w:pPr>
  </w:style>
  <w:style w:styleId="Heading9" w:type="paragraph">
    <w:name w:val="heading 9"/>
    <w:basedOn w:val="Heading8"/>
    <w:next w:val="Normal"/>
    <w:qFormat/>
    <w:rsid w:val="00802AA2"/>
    <w:pPr>
      <w:numPr>
        <w:ilvl w:val="8"/>
      </w:num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link w:val="Heading1"/>
    <w:rsid w:val="00407AC1"/>
    <w:rPr>
      <w:rFonts w:ascii="Arial" w:hAnsi="Arial"/>
      <w:sz w:val="36"/>
      <w:lang w:eastAsia="en-US"/>
    </w:rPr>
  </w:style>
  <w:style w:customStyle="1" w:styleId="Heading2Char" w:type="character">
    <w:name w:val="Heading 2 Char"/>
    <w:link w:val="Heading2"/>
    <w:rsid w:val="00407AC1"/>
    <w:rPr>
      <w:rFonts w:ascii="Arial" w:hAnsi="Arial"/>
      <w:sz w:val="32"/>
      <w:lang w:eastAsia="en-US"/>
    </w:rPr>
  </w:style>
  <w:style w:customStyle="1" w:styleId="Heading3Char" w:type="character">
    <w:name w:val="Heading 3 Char"/>
    <w:link w:val="Heading3"/>
    <w:rsid w:val="00DC7E33"/>
    <w:rPr>
      <w:rFonts w:ascii="Arial" w:hAnsi="Arial"/>
      <w:sz w:val="28"/>
      <w:lang w:eastAsia="en-US"/>
    </w:rPr>
  </w:style>
  <w:style w:customStyle="1" w:styleId="H6" w:type="paragraph">
    <w:name w:val="H6"/>
    <w:basedOn w:val="Heading5"/>
    <w:next w:val="Normal"/>
    <w:rsid w:val="00802AA2"/>
    <w:pPr>
      <w:ind w:hanging="1985" w:left="1985"/>
      <w:outlineLvl w:val="9"/>
    </w:pPr>
    <w:rPr>
      <w:sz w:val="20"/>
    </w:rPr>
  </w:style>
  <w:style w:styleId="TOC9" w:type="paragraph">
    <w:name w:val="toc 9"/>
    <w:basedOn w:val="TOC8"/>
    <w:rsid w:val="00802AA2"/>
    <w:pPr>
      <w:ind w:hanging="1418" w:left="1418"/>
    </w:pPr>
  </w:style>
  <w:style w:styleId="TOC8" w:type="paragraph">
    <w:name w:val="toc 8"/>
    <w:basedOn w:val="TOC1"/>
    <w:uiPriority w:val="39"/>
    <w:rsid w:val="00802AA2"/>
    <w:pPr>
      <w:spacing w:before="180"/>
      <w:ind w:hanging="2693" w:left="2693"/>
    </w:pPr>
    <w:rPr>
      <w:b/>
    </w:rPr>
  </w:style>
  <w:style w:styleId="TOC1" w:type="paragraph">
    <w:name w:val="toc 1"/>
    <w:uiPriority w:val="39"/>
    <w:rsid w:val="00802AA2"/>
    <w:pPr>
      <w:keepLines/>
      <w:widowControl w:val="0"/>
      <w:tabs>
        <w:tab w:leader="dot" w:pos="9639" w:val="right"/>
      </w:tabs>
      <w:overflowPunct w:val="0"/>
      <w:autoSpaceDE w:val="0"/>
      <w:autoSpaceDN w:val="0"/>
      <w:adjustRightInd w:val="0"/>
      <w:spacing w:before="120"/>
      <w:ind w:hanging="567" w:left="567" w:right="425"/>
      <w:textAlignment w:val="baseline"/>
    </w:pPr>
    <w:rPr>
      <w:noProof/>
      <w:sz w:val="22"/>
      <w:lang w:eastAsia="en-US"/>
    </w:rPr>
  </w:style>
  <w:style w:customStyle="1" w:styleId="EQ" w:type="paragraph">
    <w:name w:val="EQ"/>
    <w:basedOn w:val="Normal"/>
    <w:next w:val="Normal"/>
    <w:rsid w:val="00802AA2"/>
    <w:pPr>
      <w:keepLines/>
      <w:tabs>
        <w:tab w:pos="4536" w:val="center"/>
        <w:tab w:pos="9072" w:val="right"/>
      </w:tabs>
    </w:pPr>
    <w:rPr>
      <w:noProof/>
    </w:rPr>
  </w:style>
  <w:style w:customStyle="1" w:styleId="ZGSM" w:type="character">
    <w:name w:val="ZGSM"/>
    <w:rsid w:val="00802AA2"/>
  </w:style>
  <w:style w:styleId="Header" w:type="paragraph">
    <w:name w:val="header"/>
    <w:rsid w:val="00802AA2"/>
    <w:pPr>
      <w:widowControl w:val="0"/>
      <w:overflowPunct w:val="0"/>
      <w:autoSpaceDE w:val="0"/>
      <w:autoSpaceDN w:val="0"/>
      <w:adjustRightInd w:val="0"/>
      <w:textAlignment w:val="baseline"/>
    </w:pPr>
    <w:rPr>
      <w:rFonts w:ascii="Arial" w:hAnsi="Arial"/>
      <w:b/>
      <w:noProof/>
      <w:sz w:val="18"/>
      <w:lang w:eastAsia="en-US"/>
    </w:rPr>
  </w:style>
  <w:style w:customStyle="1" w:styleId="ZD" w:type="paragraph">
    <w:name w:val="ZD"/>
    <w:rsid w:val="00802AA2"/>
    <w:pPr>
      <w:framePr w:hAnchor="margin" w:vAnchor="page" w:wrap="notBeside" w:y="15764"/>
      <w:widowControl w:val="0"/>
      <w:overflowPunct w:val="0"/>
      <w:autoSpaceDE w:val="0"/>
      <w:autoSpaceDN w:val="0"/>
      <w:adjustRightInd w:val="0"/>
      <w:textAlignment w:val="baseline"/>
    </w:pPr>
    <w:rPr>
      <w:rFonts w:ascii="Arial" w:hAnsi="Arial"/>
      <w:noProof/>
      <w:sz w:val="32"/>
      <w:lang w:eastAsia="en-US"/>
    </w:rPr>
  </w:style>
  <w:style w:styleId="TOC5" w:type="paragraph">
    <w:name w:val="toc 5"/>
    <w:basedOn w:val="TOC4"/>
    <w:uiPriority w:val="39"/>
    <w:rsid w:val="00802AA2"/>
    <w:pPr>
      <w:ind w:hanging="1701" w:left="1701"/>
    </w:pPr>
  </w:style>
  <w:style w:styleId="TOC4" w:type="paragraph">
    <w:name w:val="toc 4"/>
    <w:basedOn w:val="TOC3"/>
    <w:uiPriority w:val="39"/>
    <w:rsid w:val="00802AA2"/>
    <w:pPr>
      <w:ind w:hanging="1418" w:left="1418"/>
    </w:pPr>
  </w:style>
  <w:style w:styleId="TOC3" w:type="paragraph">
    <w:name w:val="toc 3"/>
    <w:basedOn w:val="TOC2"/>
    <w:uiPriority w:val="39"/>
    <w:rsid w:val="00802AA2"/>
    <w:pPr>
      <w:ind w:hanging="1134" w:left="1134"/>
    </w:pPr>
  </w:style>
  <w:style w:styleId="TOC2" w:type="paragraph">
    <w:name w:val="toc 2"/>
    <w:basedOn w:val="TOC1"/>
    <w:uiPriority w:val="39"/>
    <w:rsid w:val="00802AA2"/>
    <w:pPr>
      <w:spacing w:before="0"/>
      <w:ind w:hanging="851" w:left="851"/>
    </w:pPr>
    <w:rPr>
      <w:sz w:val="20"/>
    </w:rPr>
  </w:style>
  <w:style w:styleId="Index1" w:type="paragraph">
    <w:name w:val="index 1"/>
    <w:basedOn w:val="Normal"/>
    <w:semiHidden/>
    <w:rsid w:val="00802AA2"/>
    <w:pPr>
      <w:keepLines/>
    </w:pPr>
  </w:style>
  <w:style w:styleId="Index2" w:type="paragraph">
    <w:name w:val="index 2"/>
    <w:basedOn w:val="Index1"/>
    <w:semiHidden/>
    <w:rsid w:val="00802AA2"/>
    <w:pPr>
      <w:ind w:left="284"/>
    </w:pPr>
  </w:style>
  <w:style w:customStyle="1" w:styleId="TT" w:type="paragraph">
    <w:name w:val="TT"/>
    <w:basedOn w:val="Heading1"/>
    <w:next w:val="Normal"/>
    <w:rsid w:val="00802AA2"/>
    <w:pPr>
      <w:outlineLvl w:val="9"/>
    </w:pPr>
  </w:style>
  <w:style w:styleId="Footer" w:type="paragraph">
    <w:name w:val="footer"/>
    <w:basedOn w:val="Header"/>
    <w:link w:val="FooterChar"/>
    <w:rsid w:val="00802AA2"/>
    <w:pPr>
      <w:jc w:val="center"/>
    </w:pPr>
    <w:rPr>
      <w:i/>
    </w:rPr>
  </w:style>
  <w:style w:customStyle="1" w:styleId="FooterChar" w:type="character">
    <w:name w:val="Footer Char"/>
    <w:link w:val="Footer"/>
    <w:rsid w:val="00BC33F7"/>
    <w:rPr>
      <w:rFonts w:ascii="Arial" w:hAnsi="Arial"/>
      <w:b/>
      <w:i/>
      <w:noProof/>
      <w:sz w:val="18"/>
      <w:lang w:eastAsia="en-US"/>
    </w:rPr>
  </w:style>
  <w:style w:styleId="FootnoteReference" w:type="character">
    <w:name w:val="footnote reference"/>
    <w:basedOn w:val="DefaultParagraphFont"/>
    <w:semiHidden/>
    <w:rsid w:val="00802AA2"/>
    <w:rPr>
      <w:b/>
      <w:position w:val="6"/>
      <w:sz w:val="16"/>
    </w:rPr>
  </w:style>
  <w:style w:styleId="FootnoteText" w:type="paragraph">
    <w:name w:val="footnote text"/>
    <w:basedOn w:val="Normal"/>
    <w:semiHidden/>
    <w:rsid w:val="00802AA2"/>
    <w:pPr>
      <w:keepLines/>
      <w:ind w:hanging="454" w:left="454"/>
    </w:pPr>
    <w:rPr>
      <w:sz w:val="16"/>
    </w:rPr>
  </w:style>
  <w:style w:customStyle="1" w:styleId="NF" w:type="paragraph">
    <w:name w:val="NF"/>
    <w:basedOn w:val="NO"/>
    <w:rsid w:val="00802AA2"/>
    <w:pPr>
      <w:keepNext/>
      <w:spacing w:after="0"/>
    </w:pPr>
    <w:rPr>
      <w:rFonts w:ascii="Arial" w:hAnsi="Arial"/>
      <w:sz w:val="18"/>
    </w:rPr>
  </w:style>
  <w:style w:customStyle="1" w:styleId="NO" w:type="paragraph">
    <w:name w:val="NO"/>
    <w:basedOn w:val="Normal"/>
    <w:link w:val="NOChar"/>
    <w:rsid w:val="00802AA2"/>
    <w:pPr>
      <w:keepLines/>
      <w:ind w:hanging="851" w:left="1135"/>
    </w:pPr>
  </w:style>
  <w:style w:customStyle="1" w:styleId="NOChar" w:type="character">
    <w:name w:val="NO Char"/>
    <w:link w:val="NO"/>
    <w:rsid w:val="00E05319"/>
    <w:rPr>
      <w:lang w:eastAsia="en-US"/>
    </w:rPr>
  </w:style>
  <w:style w:customStyle="1" w:styleId="PL" w:type="paragraph">
    <w:name w:val="PL"/>
    <w:link w:val="PLChar"/>
    <w:rsid w:val="00802AA2"/>
    <w:pPr>
      <w:tabs>
        <w:tab w:pos="384" w:val="left"/>
        <w:tab w:pos="768" w:val="left"/>
        <w:tab w:pos="1152" w:val="left"/>
        <w:tab w:pos="1536" w:val="left"/>
        <w:tab w:pos="1920" w:val="left"/>
        <w:tab w:pos="2304" w:val="left"/>
        <w:tab w:pos="2688" w:val="left"/>
        <w:tab w:pos="3072" w:val="left"/>
        <w:tab w:pos="3456" w:val="left"/>
        <w:tab w:pos="3840" w:val="left"/>
        <w:tab w:pos="4224" w:val="left"/>
        <w:tab w:pos="4608" w:val="left"/>
        <w:tab w:pos="4992" w:val="left"/>
        <w:tab w:pos="5376" w:val="left"/>
        <w:tab w:pos="5760" w:val="left"/>
        <w:tab w:pos="6144" w:val="left"/>
        <w:tab w:pos="6528" w:val="left"/>
        <w:tab w:pos="6912" w:val="left"/>
        <w:tab w:pos="7296" w:val="left"/>
        <w:tab w:pos="7680" w:val="left"/>
        <w:tab w:pos="8064" w:val="left"/>
        <w:tab w:pos="8448" w:val="left"/>
        <w:tab w:pos="8832" w:val="left"/>
        <w:tab w:pos="9216" w:val="left"/>
      </w:tabs>
      <w:overflowPunct w:val="0"/>
      <w:autoSpaceDE w:val="0"/>
      <w:autoSpaceDN w:val="0"/>
      <w:adjustRightInd w:val="0"/>
      <w:textAlignment w:val="baseline"/>
    </w:pPr>
    <w:rPr>
      <w:rFonts w:ascii="Courier New" w:hAnsi="Courier New"/>
      <w:noProof/>
      <w:sz w:val="16"/>
      <w:lang w:eastAsia="en-US"/>
    </w:rPr>
  </w:style>
  <w:style w:customStyle="1" w:styleId="PLChar" w:type="character">
    <w:name w:val="PL Char"/>
    <w:link w:val="PL"/>
    <w:rsid w:val="00DC7E33"/>
    <w:rPr>
      <w:rFonts w:ascii="Courier New" w:hAnsi="Courier New"/>
      <w:noProof/>
      <w:sz w:val="16"/>
      <w:lang w:eastAsia="en-US"/>
    </w:rPr>
  </w:style>
  <w:style w:customStyle="1" w:styleId="TAR" w:type="paragraph">
    <w:name w:val="TAR"/>
    <w:basedOn w:val="TAL"/>
    <w:rsid w:val="00802AA2"/>
    <w:pPr>
      <w:jc w:val="right"/>
    </w:pPr>
  </w:style>
  <w:style w:customStyle="1" w:styleId="TAL" w:type="paragraph">
    <w:name w:val="TAL"/>
    <w:basedOn w:val="Normal"/>
    <w:link w:val="TALChar"/>
    <w:rsid w:val="00802AA2"/>
    <w:pPr>
      <w:keepNext/>
      <w:keepLines/>
      <w:spacing w:after="0"/>
    </w:pPr>
    <w:rPr>
      <w:rFonts w:ascii="Arial" w:hAnsi="Arial"/>
      <w:sz w:val="18"/>
    </w:rPr>
  </w:style>
  <w:style w:customStyle="1" w:styleId="TALChar" w:type="character">
    <w:name w:val="TAL Char"/>
    <w:link w:val="TAL"/>
    <w:rsid w:val="009C2564"/>
    <w:rPr>
      <w:rFonts w:ascii="Arial" w:hAnsi="Arial"/>
      <w:sz w:val="18"/>
      <w:lang w:eastAsia="en-US"/>
    </w:rPr>
  </w:style>
  <w:style w:styleId="ListNumber2" w:type="paragraph">
    <w:name w:val="List Number 2"/>
    <w:basedOn w:val="ListNumber"/>
    <w:rsid w:val="00802AA2"/>
    <w:pPr>
      <w:ind w:left="851"/>
    </w:pPr>
  </w:style>
  <w:style w:styleId="ListNumber" w:type="paragraph">
    <w:name w:val="List Number"/>
    <w:basedOn w:val="List"/>
    <w:rsid w:val="00802AA2"/>
  </w:style>
  <w:style w:styleId="List" w:type="paragraph">
    <w:name w:val="List"/>
    <w:basedOn w:val="Normal"/>
    <w:rsid w:val="00802AA2"/>
    <w:pPr>
      <w:ind w:hanging="284" w:left="568"/>
    </w:pPr>
  </w:style>
  <w:style w:customStyle="1" w:styleId="TAH" w:type="paragraph">
    <w:name w:val="TAH"/>
    <w:basedOn w:val="TAC"/>
    <w:link w:val="TAHChar"/>
    <w:rsid w:val="00802AA2"/>
    <w:rPr>
      <w:b/>
    </w:rPr>
  </w:style>
  <w:style w:customStyle="1" w:styleId="TAC" w:type="paragraph">
    <w:name w:val="TAC"/>
    <w:basedOn w:val="TAL"/>
    <w:link w:val="TACChar"/>
    <w:rsid w:val="00802AA2"/>
    <w:pPr>
      <w:jc w:val="center"/>
    </w:pPr>
  </w:style>
  <w:style w:customStyle="1" w:styleId="LD" w:type="paragraph">
    <w:name w:val="LD"/>
    <w:rsid w:val="00802AA2"/>
    <w:pPr>
      <w:keepNext/>
      <w:keepLines/>
      <w:overflowPunct w:val="0"/>
      <w:autoSpaceDE w:val="0"/>
      <w:autoSpaceDN w:val="0"/>
      <w:adjustRightInd w:val="0"/>
      <w:spacing w:line="180" w:lineRule="exact"/>
      <w:textAlignment w:val="baseline"/>
    </w:pPr>
    <w:rPr>
      <w:rFonts w:ascii="Courier New" w:hAnsi="Courier New"/>
      <w:noProof/>
      <w:lang w:eastAsia="en-US"/>
    </w:rPr>
  </w:style>
  <w:style w:customStyle="1" w:styleId="EX" w:type="paragraph">
    <w:name w:val="EX"/>
    <w:basedOn w:val="Normal"/>
    <w:rsid w:val="00802AA2"/>
    <w:pPr>
      <w:keepLines/>
      <w:ind w:hanging="1418" w:left="1702"/>
    </w:pPr>
  </w:style>
  <w:style w:customStyle="1" w:styleId="FP" w:type="paragraph">
    <w:name w:val="FP"/>
    <w:basedOn w:val="Normal"/>
    <w:rsid w:val="00802AA2"/>
    <w:pPr>
      <w:spacing w:after="0"/>
    </w:pPr>
  </w:style>
  <w:style w:customStyle="1" w:styleId="NW" w:type="paragraph">
    <w:name w:val="NW"/>
    <w:basedOn w:val="NO"/>
    <w:rsid w:val="00802AA2"/>
    <w:pPr>
      <w:spacing w:after="0"/>
    </w:pPr>
  </w:style>
  <w:style w:customStyle="1" w:styleId="EW" w:type="paragraph">
    <w:name w:val="EW"/>
    <w:basedOn w:val="EX"/>
    <w:rsid w:val="00802AA2"/>
    <w:pPr>
      <w:spacing w:after="0"/>
    </w:pPr>
  </w:style>
  <w:style w:customStyle="1" w:styleId="B10" w:type="paragraph">
    <w:name w:val="B1"/>
    <w:basedOn w:val="List"/>
    <w:rsid w:val="00802AA2"/>
    <w:pPr>
      <w:ind w:hanging="454" w:left="738"/>
    </w:pPr>
  </w:style>
  <w:style w:styleId="TOC6" w:type="paragraph">
    <w:name w:val="toc 6"/>
    <w:basedOn w:val="TOC5"/>
    <w:next w:val="Normal"/>
    <w:semiHidden/>
    <w:rsid w:val="00802AA2"/>
    <w:pPr>
      <w:ind w:hanging="1985" w:left="1985"/>
    </w:pPr>
  </w:style>
  <w:style w:styleId="TOC7" w:type="paragraph">
    <w:name w:val="toc 7"/>
    <w:basedOn w:val="TOC6"/>
    <w:next w:val="Normal"/>
    <w:semiHidden/>
    <w:rsid w:val="00802AA2"/>
    <w:pPr>
      <w:ind w:hanging="2268" w:left="2268"/>
    </w:pPr>
  </w:style>
  <w:style w:styleId="ListBullet2" w:type="paragraph">
    <w:name w:val="List Bullet 2"/>
    <w:basedOn w:val="ListBullet"/>
    <w:rsid w:val="00802AA2"/>
    <w:pPr>
      <w:ind w:left="851"/>
    </w:pPr>
  </w:style>
  <w:style w:styleId="ListBullet" w:type="paragraph">
    <w:name w:val="List Bullet"/>
    <w:basedOn w:val="List"/>
    <w:rsid w:val="00802AA2"/>
  </w:style>
  <w:style w:customStyle="1" w:styleId="EditorsNote" w:type="paragraph">
    <w:name w:val="Editor's Note"/>
    <w:basedOn w:val="NO"/>
    <w:rsid w:val="00802AA2"/>
    <w:rPr>
      <w:color w:val="FF0000"/>
    </w:rPr>
  </w:style>
  <w:style w:customStyle="1" w:styleId="TH" w:type="paragraph">
    <w:name w:val="TH"/>
    <w:basedOn w:val="FL"/>
    <w:next w:val="FL"/>
    <w:link w:val="THChar"/>
    <w:rsid w:val="00802AA2"/>
  </w:style>
  <w:style w:customStyle="1" w:styleId="FL" w:type="paragraph">
    <w:name w:val="FL"/>
    <w:basedOn w:val="Normal"/>
    <w:link w:val="FLChar"/>
    <w:rsid w:val="00802AA2"/>
    <w:pPr>
      <w:keepNext/>
      <w:keepLines/>
      <w:spacing w:before="60"/>
      <w:jc w:val="center"/>
    </w:pPr>
    <w:rPr>
      <w:rFonts w:ascii="Arial" w:hAnsi="Arial"/>
      <w:b/>
    </w:rPr>
  </w:style>
  <w:style w:customStyle="1" w:styleId="ZA" w:type="paragraph">
    <w:name w:val="ZA"/>
    <w:rsid w:val="00802AA2"/>
    <w:pPr>
      <w:framePr w:h="794" w:hAnchor="margin" w:hRule="exact" w:vAnchor="page" w:w="10206" w:wrap="notBeside" w:y="1135"/>
      <w:widowControl w:val="0"/>
      <w:pBdr>
        <w:bottom w:color="auto" w:space="1" w:sz="12" w:val="single"/>
      </w:pBdr>
      <w:overflowPunct w:val="0"/>
      <w:autoSpaceDE w:val="0"/>
      <w:autoSpaceDN w:val="0"/>
      <w:adjustRightInd w:val="0"/>
      <w:jc w:val="right"/>
      <w:textAlignment w:val="baseline"/>
    </w:pPr>
    <w:rPr>
      <w:rFonts w:ascii="Arial" w:hAnsi="Arial"/>
      <w:noProof/>
      <w:sz w:val="40"/>
      <w:lang w:eastAsia="en-US"/>
    </w:rPr>
  </w:style>
  <w:style w:customStyle="1" w:styleId="ZB" w:type="paragraph">
    <w:name w:val="ZB"/>
    <w:rsid w:val="00802AA2"/>
    <w:pPr>
      <w:framePr w:h="284" w:hAnchor="margin" w:hRule="exact" w:vAnchor="page" w:w="10206" w:wrap="notBeside" w:y="1986"/>
      <w:widowControl w:val="0"/>
      <w:overflowPunct w:val="0"/>
      <w:autoSpaceDE w:val="0"/>
      <w:autoSpaceDN w:val="0"/>
      <w:adjustRightInd w:val="0"/>
      <w:ind w:right="28"/>
      <w:jc w:val="right"/>
      <w:textAlignment w:val="baseline"/>
    </w:pPr>
    <w:rPr>
      <w:rFonts w:ascii="Arial" w:hAnsi="Arial"/>
      <w:i/>
      <w:noProof/>
      <w:lang w:eastAsia="en-US"/>
    </w:rPr>
  </w:style>
  <w:style w:customStyle="1" w:styleId="ZT" w:type="paragraph">
    <w:name w:val="ZT"/>
    <w:rsid w:val="00802AA2"/>
    <w:pPr>
      <w:framePr w:anchorLock="1" w:hAnchor="margin" w:vAnchor="page" w:wrap="notBeside" w:yAlign="center"/>
      <w:widowControl w:val="0"/>
      <w:overflowPunct w:val="0"/>
      <w:autoSpaceDE w:val="0"/>
      <w:autoSpaceDN w:val="0"/>
      <w:adjustRightInd w:val="0"/>
      <w:spacing w:line="240" w:lineRule="atLeast"/>
      <w:jc w:val="center"/>
      <w:textAlignment w:val="baseline"/>
    </w:pPr>
    <w:rPr>
      <w:rFonts w:ascii="Arial" w:hAnsi="Arial"/>
      <w:b/>
      <w:sz w:val="34"/>
      <w:lang w:eastAsia="en-US"/>
    </w:rPr>
  </w:style>
  <w:style w:customStyle="1" w:styleId="ZU" w:type="paragraph">
    <w:name w:val="ZU"/>
    <w:rsid w:val="00802AA2"/>
    <w:pPr>
      <w:framePr w:hAnchor="margin" w:vAnchor="page" w:w="10206" w:wrap="notBeside" w:y="6238"/>
      <w:widowControl w:val="0"/>
      <w:pBdr>
        <w:top w:color="auto" w:space="1" w:sz="12" w:val="single"/>
      </w:pBdr>
      <w:overflowPunct w:val="0"/>
      <w:autoSpaceDE w:val="0"/>
      <w:autoSpaceDN w:val="0"/>
      <w:adjustRightInd w:val="0"/>
      <w:jc w:val="right"/>
      <w:textAlignment w:val="baseline"/>
    </w:pPr>
    <w:rPr>
      <w:rFonts w:ascii="Arial" w:hAnsi="Arial"/>
      <w:noProof/>
      <w:lang w:eastAsia="en-US"/>
    </w:rPr>
  </w:style>
  <w:style w:customStyle="1" w:styleId="TAN" w:type="paragraph">
    <w:name w:val="TAN"/>
    <w:basedOn w:val="TAL"/>
    <w:rsid w:val="00802AA2"/>
    <w:pPr>
      <w:ind w:hanging="851" w:left="851"/>
    </w:pPr>
  </w:style>
  <w:style w:customStyle="1" w:styleId="ZH" w:type="paragraph">
    <w:name w:val="ZH"/>
    <w:rsid w:val="00802AA2"/>
    <w:pPr>
      <w:framePr w:hAnchor="margin" w:vAnchor="page" w:wrap="notBeside" w:xAlign="center" w:y="6805"/>
      <w:widowControl w:val="0"/>
      <w:overflowPunct w:val="0"/>
      <w:autoSpaceDE w:val="0"/>
      <w:autoSpaceDN w:val="0"/>
      <w:adjustRightInd w:val="0"/>
      <w:textAlignment w:val="baseline"/>
    </w:pPr>
    <w:rPr>
      <w:rFonts w:ascii="Arial" w:hAnsi="Arial"/>
      <w:noProof/>
      <w:lang w:eastAsia="en-US"/>
    </w:rPr>
  </w:style>
  <w:style w:customStyle="1" w:styleId="TF" w:type="paragraph">
    <w:name w:val="TF"/>
    <w:basedOn w:val="FL"/>
    <w:link w:val="TFChar"/>
    <w:rsid w:val="00802AA2"/>
    <w:pPr>
      <w:keepNext w:val="0"/>
      <w:spacing w:after="240" w:before="0"/>
    </w:pPr>
  </w:style>
  <w:style w:customStyle="1" w:styleId="ZG" w:type="paragraph">
    <w:name w:val="ZG"/>
    <w:rsid w:val="00802AA2"/>
    <w:pPr>
      <w:framePr w:hAnchor="margin" w:vAnchor="page" w:wrap="notBeside" w:xAlign="right" w:y="6805"/>
      <w:widowControl w:val="0"/>
      <w:overflowPunct w:val="0"/>
      <w:autoSpaceDE w:val="0"/>
      <w:autoSpaceDN w:val="0"/>
      <w:adjustRightInd w:val="0"/>
      <w:jc w:val="right"/>
      <w:textAlignment w:val="baseline"/>
    </w:pPr>
    <w:rPr>
      <w:rFonts w:ascii="Arial" w:hAnsi="Arial"/>
      <w:noProof/>
      <w:lang w:eastAsia="en-US"/>
    </w:rPr>
  </w:style>
  <w:style w:styleId="ListBullet3" w:type="paragraph">
    <w:name w:val="List Bullet 3"/>
    <w:basedOn w:val="ListBullet2"/>
    <w:rsid w:val="00802AA2"/>
    <w:pPr>
      <w:ind w:left="1135"/>
    </w:pPr>
  </w:style>
  <w:style w:styleId="List2" w:type="paragraph">
    <w:name w:val="List 2"/>
    <w:basedOn w:val="List"/>
    <w:rsid w:val="00802AA2"/>
    <w:pPr>
      <w:ind w:left="851"/>
    </w:pPr>
  </w:style>
  <w:style w:styleId="List3" w:type="paragraph">
    <w:name w:val="List 3"/>
    <w:basedOn w:val="List2"/>
    <w:rsid w:val="00802AA2"/>
    <w:pPr>
      <w:ind w:left="1135"/>
    </w:pPr>
  </w:style>
  <w:style w:styleId="List4" w:type="paragraph">
    <w:name w:val="List 4"/>
    <w:basedOn w:val="List3"/>
    <w:rsid w:val="00802AA2"/>
    <w:pPr>
      <w:ind w:left="1418"/>
    </w:pPr>
  </w:style>
  <w:style w:styleId="List5" w:type="paragraph">
    <w:name w:val="List 5"/>
    <w:basedOn w:val="List4"/>
    <w:rsid w:val="00802AA2"/>
    <w:pPr>
      <w:ind w:left="1702"/>
    </w:pPr>
  </w:style>
  <w:style w:styleId="ListBullet4" w:type="paragraph">
    <w:name w:val="List Bullet 4"/>
    <w:basedOn w:val="ListBullet3"/>
    <w:rsid w:val="00802AA2"/>
    <w:pPr>
      <w:ind w:left="1418"/>
    </w:pPr>
  </w:style>
  <w:style w:styleId="ListBullet5" w:type="paragraph">
    <w:name w:val="List Bullet 5"/>
    <w:basedOn w:val="ListBullet4"/>
    <w:rsid w:val="00802AA2"/>
    <w:pPr>
      <w:ind w:left="1702"/>
    </w:pPr>
  </w:style>
  <w:style w:customStyle="1" w:styleId="B20" w:type="paragraph">
    <w:name w:val="B2"/>
    <w:basedOn w:val="List2"/>
    <w:rsid w:val="00802AA2"/>
    <w:pPr>
      <w:ind w:hanging="454" w:left="1191"/>
    </w:pPr>
  </w:style>
  <w:style w:customStyle="1" w:styleId="B30" w:type="paragraph">
    <w:name w:val="B3"/>
    <w:basedOn w:val="List3"/>
    <w:rsid w:val="00802AA2"/>
    <w:pPr>
      <w:ind w:hanging="454" w:left="1645"/>
    </w:pPr>
  </w:style>
  <w:style w:customStyle="1" w:styleId="B4" w:type="paragraph">
    <w:name w:val="B4"/>
    <w:basedOn w:val="List4"/>
    <w:rsid w:val="00802AA2"/>
    <w:pPr>
      <w:ind w:hanging="454" w:left="2098"/>
    </w:pPr>
  </w:style>
  <w:style w:customStyle="1" w:styleId="B5" w:type="paragraph">
    <w:name w:val="B5"/>
    <w:basedOn w:val="List5"/>
    <w:rsid w:val="00802AA2"/>
    <w:pPr>
      <w:ind w:hanging="454" w:left="2552"/>
    </w:pPr>
  </w:style>
  <w:style w:customStyle="1" w:styleId="ZTD" w:type="paragraph">
    <w:name w:val="ZTD"/>
    <w:basedOn w:val="ZB"/>
    <w:rsid w:val="00802AA2"/>
    <w:pPr>
      <w:framePr w:hRule="auto" w:wrap="notBeside" w:y="852"/>
    </w:pPr>
    <w:rPr>
      <w:i w:val="0"/>
      <w:sz w:val="40"/>
    </w:rPr>
  </w:style>
  <w:style w:customStyle="1" w:styleId="ZV" w:type="paragraph">
    <w:name w:val="ZV"/>
    <w:basedOn w:val="ZU"/>
    <w:rsid w:val="00802AA2"/>
    <w:pPr>
      <w:framePr w:wrap="notBeside" w:y="16161"/>
    </w:pPr>
  </w:style>
  <w:style w:styleId="IndexHeading" w:type="paragraph">
    <w:name w:val="index heading"/>
    <w:basedOn w:val="Normal"/>
    <w:next w:val="Normal"/>
    <w:semiHidden/>
    <w:pPr>
      <w:pBdr>
        <w:top w:color="auto" w:space="0" w:sz="12" w:val="single"/>
      </w:pBdr>
      <w:spacing w:after="240" w:before="360"/>
    </w:pPr>
    <w:rPr>
      <w:b/>
      <w:i/>
      <w:sz w:val="26"/>
    </w:rPr>
  </w:style>
  <w:style w:styleId="CommentSubject" w:type="paragraph">
    <w:name w:val="annotation subject"/>
    <w:basedOn w:val="CommentText"/>
    <w:next w:val="CommentText"/>
    <w:link w:val="CommentSubjectChar"/>
    <w:rsid w:val="006D4E50"/>
    <w:rPr>
      <w:b/>
      <w:bCs/>
    </w:rPr>
  </w:style>
  <w:style w:styleId="CommentText" w:type="paragraph">
    <w:name w:val="annotation text"/>
    <w:basedOn w:val="Normal"/>
    <w:link w:val="CommentTextChar"/>
    <w:semiHidden/>
  </w:style>
  <w:style w:customStyle="1" w:styleId="CommentTextChar" w:type="character">
    <w:name w:val="Comment Text Char"/>
    <w:link w:val="CommentText"/>
    <w:semiHidden/>
    <w:rsid w:val="006D4E50"/>
    <w:rPr>
      <w:lang w:eastAsia="en-US"/>
    </w:rPr>
  </w:style>
  <w:style w:customStyle="1" w:styleId="CommentSubjectChar" w:type="character">
    <w:name w:val="Comment Subject Char"/>
    <w:link w:val="CommentSubject"/>
    <w:rsid w:val="006D4E50"/>
    <w:rPr>
      <w:b/>
      <w:bCs/>
      <w:lang w:eastAsia="en-US"/>
    </w:rPr>
  </w:style>
  <w:style w:styleId="Hyperlink" w:type="character">
    <w:name w:val="Hyperlink"/>
    <w:rPr>
      <w:color w:val="0000FF"/>
      <w:u w:val="single"/>
    </w:rPr>
  </w:style>
  <w:style w:styleId="FollowedHyperlink" w:type="character">
    <w:name w:val="FollowedHyperlink"/>
    <w:rPr>
      <w:color w:val="800080"/>
      <w:u w:val="single"/>
    </w:rPr>
  </w:style>
  <w:style w:customStyle="1" w:styleId="B3" w:type="paragraph">
    <w:name w:val="B3+"/>
    <w:basedOn w:val="B30"/>
    <w:rsid w:val="00802AA2"/>
    <w:pPr>
      <w:numPr>
        <w:numId w:val="3"/>
      </w:numPr>
      <w:tabs>
        <w:tab w:pos="1134" w:val="left"/>
      </w:tabs>
    </w:pPr>
  </w:style>
  <w:style w:customStyle="1" w:styleId="B1" w:type="paragraph">
    <w:name w:val="B1+"/>
    <w:basedOn w:val="B10"/>
    <w:link w:val="B1Char"/>
    <w:rsid w:val="00802AA2"/>
    <w:pPr>
      <w:numPr>
        <w:numId w:val="1"/>
      </w:numPr>
    </w:pPr>
  </w:style>
  <w:style w:customStyle="1" w:styleId="B1Char" w:type="character">
    <w:name w:val="B1+ Char"/>
    <w:link w:val="B1"/>
    <w:rsid w:val="00DC7E33"/>
    <w:rPr>
      <w:lang w:eastAsia="en-US"/>
    </w:rPr>
  </w:style>
  <w:style w:customStyle="1" w:styleId="B2" w:type="paragraph">
    <w:name w:val="B2+"/>
    <w:basedOn w:val="B20"/>
    <w:rsid w:val="00802AA2"/>
    <w:pPr>
      <w:numPr>
        <w:numId w:val="2"/>
      </w:numPr>
    </w:pPr>
  </w:style>
  <w:style w:customStyle="1" w:styleId="BL" w:type="paragraph">
    <w:name w:val="BL"/>
    <w:basedOn w:val="Normal"/>
    <w:rsid w:val="00802AA2"/>
    <w:pPr>
      <w:numPr>
        <w:numId w:val="5"/>
      </w:numPr>
      <w:tabs>
        <w:tab w:pos="851" w:val="left"/>
      </w:tabs>
    </w:pPr>
  </w:style>
  <w:style w:customStyle="1" w:styleId="BN" w:type="paragraph">
    <w:name w:val="BN"/>
    <w:basedOn w:val="Normal"/>
    <w:rsid w:val="00802AA2"/>
    <w:pPr>
      <w:numPr>
        <w:numId w:val="4"/>
      </w:numPr>
    </w:pPr>
  </w:style>
  <w:style w:styleId="BodyText" w:type="paragraph">
    <w:name w:val="Body Text"/>
    <w:basedOn w:val="Normal"/>
    <w:pPr>
      <w:keepNext/>
      <w:spacing w:after="140"/>
    </w:pPr>
  </w:style>
  <w:style w:styleId="BlockText" w:type="paragraph">
    <w:name w:val="Block Text"/>
    <w:basedOn w:val="Normal"/>
    <w:pPr>
      <w:spacing w:after="120"/>
      <w:ind w:left="1440" w:right="1440"/>
    </w:pPr>
  </w:style>
  <w:style w:styleId="BodyText2" w:type="paragraph">
    <w:name w:val="Body Text 2"/>
    <w:basedOn w:val="Normal"/>
    <w:pPr>
      <w:spacing w:after="120" w:line="480" w:lineRule="auto"/>
    </w:pPr>
  </w:style>
  <w:style w:styleId="BodyText3" w:type="paragraph">
    <w:name w:val="Body Text 3"/>
    <w:basedOn w:val="Normal"/>
    <w:pPr>
      <w:spacing w:after="120"/>
    </w:pPr>
    <w:rPr>
      <w:sz w:val="16"/>
      <w:szCs w:val="16"/>
    </w:rPr>
  </w:style>
  <w:style w:styleId="BodyTextFirstIndent" w:type="paragraph">
    <w:name w:val="Body Text First Indent"/>
    <w:basedOn w:val="BodyText"/>
    <w:pPr>
      <w:keepNext w:val="0"/>
      <w:spacing w:after="120"/>
      <w:ind w:firstLine="210"/>
    </w:pPr>
  </w:style>
  <w:style w:styleId="BodyTextIndent" w:type="paragraph">
    <w:name w:val="Body Text Indent"/>
    <w:basedOn w:val="Normal"/>
    <w:pPr>
      <w:spacing w:after="120"/>
      <w:ind w:left="283"/>
    </w:pPr>
  </w:style>
  <w:style w:styleId="BodyTextFirstIndent2" w:type="paragraph">
    <w:name w:val="Body Text First Indent 2"/>
    <w:basedOn w:val="BodyTextIndent"/>
    <w:pPr>
      <w:ind w:firstLine="210"/>
    </w:pPr>
  </w:style>
  <w:style w:styleId="BodyTextIndent2" w:type="paragraph">
    <w:name w:val="Body Text Indent 2"/>
    <w:basedOn w:val="Normal"/>
    <w:pPr>
      <w:spacing w:after="120" w:line="480" w:lineRule="auto"/>
      <w:ind w:left="283"/>
    </w:pPr>
  </w:style>
  <w:style w:styleId="BodyTextIndent3" w:type="paragraph">
    <w:name w:val="Body Text Indent 3"/>
    <w:basedOn w:val="Normal"/>
    <w:pPr>
      <w:spacing w:after="120"/>
      <w:ind w:left="283"/>
    </w:pPr>
    <w:rPr>
      <w:sz w:val="16"/>
      <w:szCs w:val="16"/>
    </w:rPr>
  </w:style>
  <w:style w:styleId="Caption" w:type="paragraph">
    <w:name w:val="caption"/>
    <w:basedOn w:val="Normal"/>
    <w:next w:val="Normal"/>
    <w:qFormat/>
    <w:pPr>
      <w:spacing w:after="120" w:before="120"/>
    </w:pPr>
    <w:rPr>
      <w:b/>
      <w:bCs/>
    </w:rPr>
  </w:style>
  <w:style w:styleId="Closing" w:type="paragraph">
    <w:name w:val="Closing"/>
    <w:basedOn w:val="Normal"/>
    <w:pPr>
      <w:ind w:left="4252"/>
    </w:pPr>
  </w:style>
  <w:style w:styleId="CommentReference" w:type="character">
    <w:name w:val="annotation reference"/>
    <w:semiHidden/>
    <w:rPr>
      <w:sz w:val="16"/>
      <w:szCs w:val="16"/>
    </w:rPr>
  </w:style>
  <w:style w:styleId="Date" w:type="paragraph">
    <w:name w:val="Date"/>
    <w:basedOn w:val="Normal"/>
    <w:next w:val="Normal"/>
  </w:style>
  <w:style w:styleId="DocumentMap" w:type="paragraph">
    <w:name w:val="Document Map"/>
    <w:basedOn w:val="Normal"/>
    <w:semiHidden/>
    <w:pPr>
      <w:shd w:color="auto" w:fill="000080" w:val="clear"/>
    </w:pPr>
    <w:rPr>
      <w:rFonts w:ascii="Tahoma" w:cs="Tahoma" w:hAnsi="Tahoma"/>
    </w:rPr>
  </w:style>
  <w:style w:styleId="E-mailSignature" w:type="paragraph">
    <w:name w:val="E-mail Signature"/>
    <w:basedOn w:val="Normal"/>
  </w:style>
  <w:style w:styleId="Emphasis" w:type="character">
    <w:name w:val="Emphasis"/>
    <w:qFormat/>
    <w:rPr>
      <w:i/>
      <w:iCs/>
    </w:rPr>
  </w:style>
  <w:style w:styleId="EndnoteReference" w:type="character">
    <w:name w:val="endnote reference"/>
    <w:semiHidden/>
    <w:rPr>
      <w:vertAlign w:val="superscript"/>
    </w:rPr>
  </w:style>
  <w:style w:styleId="EndnoteText" w:type="paragraph">
    <w:name w:val="endnote text"/>
    <w:basedOn w:val="Normal"/>
    <w:semiHidden/>
  </w:style>
  <w:style w:styleId="EnvelopeAddress" w:type="paragraph">
    <w:name w:val="envelope address"/>
    <w:basedOn w:val="Normal"/>
    <w:pPr>
      <w:framePr w:h="1980" w:hAnchor="page" w:hRule="exact" w:hSpace="180" w:w="7920" w:wrap="auto" w:xAlign="center" w:yAlign="bottom"/>
      <w:ind w:left="2880"/>
    </w:pPr>
    <w:rPr>
      <w:rFonts w:ascii="Arial" w:cs="Arial" w:hAnsi="Arial"/>
      <w:sz w:val="24"/>
      <w:szCs w:val="24"/>
    </w:rPr>
  </w:style>
  <w:style w:styleId="EnvelopeReturn" w:type="paragraph">
    <w:name w:val="envelope return"/>
    <w:basedOn w:val="Normal"/>
    <w:rPr>
      <w:rFonts w:ascii="Arial" w:cs="Arial" w:hAnsi="Arial"/>
    </w:rPr>
  </w:style>
  <w:style w:styleId="HTMLAcronym" w:type="character">
    <w:name w:val="HTML Acronym"/>
    <w:basedOn w:val="DefaultParagraphFont"/>
  </w:style>
  <w:style w:styleId="HTMLAddress" w:type="paragraph">
    <w:name w:val="HTML Address"/>
    <w:basedOn w:val="Normal"/>
    <w:rPr>
      <w:i/>
      <w:iCs/>
    </w:rPr>
  </w:style>
  <w:style w:styleId="HTMLCite" w:type="character">
    <w:name w:val="HTML Cite"/>
    <w:rPr>
      <w:i/>
      <w:iCs/>
    </w:rPr>
  </w:style>
  <w:style w:styleId="HTMLCode" w:type="character">
    <w:name w:val="HTML Code"/>
    <w:rPr>
      <w:rFonts w:ascii="Courier New" w:hAnsi="Courier New"/>
      <w:sz w:val="20"/>
      <w:szCs w:val="20"/>
    </w:rPr>
  </w:style>
  <w:style w:styleId="HTMLDefinition" w:type="character">
    <w:name w:val="HTML Definition"/>
    <w:rPr>
      <w:i/>
      <w:iCs/>
    </w:rPr>
  </w:style>
  <w:style w:styleId="HTMLKeyboard" w:type="character">
    <w:name w:val="HTML Keyboard"/>
    <w:rPr>
      <w:rFonts w:ascii="Courier New" w:hAnsi="Courier New"/>
      <w:sz w:val="20"/>
      <w:szCs w:val="20"/>
    </w:rPr>
  </w:style>
  <w:style w:styleId="HTMLPreformatted" w:type="paragraph">
    <w:name w:val="HTML Preformatted"/>
    <w:basedOn w:val="Normal"/>
    <w:rPr>
      <w:rFonts w:ascii="Courier New" w:cs="Courier New" w:hAnsi="Courier New"/>
    </w:rPr>
  </w:style>
  <w:style w:styleId="HTMLSample" w:type="character">
    <w:name w:val="HTML Sample"/>
    <w:rPr>
      <w:rFonts w:ascii="Courier New" w:hAnsi="Courier New"/>
    </w:rPr>
  </w:style>
  <w:style w:styleId="HTMLTypewriter" w:type="character">
    <w:name w:val="HTML Typewriter"/>
    <w:rPr>
      <w:rFonts w:ascii="Courier New" w:hAnsi="Courier New"/>
      <w:sz w:val="20"/>
      <w:szCs w:val="20"/>
    </w:rPr>
  </w:style>
  <w:style w:styleId="HTMLVariable" w:type="character">
    <w:name w:val="HTML Variable"/>
    <w:rPr>
      <w:i/>
      <w:iCs/>
    </w:rPr>
  </w:style>
  <w:style w:styleId="Index3" w:type="paragraph">
    <w:name w:val="index 3"/>
    <w:basedOn w:val="Normal"/>
    <w:next w:val="Normal"/>
    <w:autoRedefine/>
    <w:semiHidden/>
    <w:pPr>
      <w:ind w:hanging="200" w:left="600"/>
    </w:pPr>
  </w:style>
  <w:style w:styleId="Index4" w:type="paragraph">
    <w:name w:val="index 4"/>
    <w:basedOn w:val="Normal"/>
    <w:next w:val="Normal"/>
    <w:autoRedefine/>
    <w:semiHidden/>
    <w:pPr>
      <w:ind w:hanging="200" w:left="800"/>
    </w:pPr>
  </w:style>
  <w:style w:styleId="Index5" w:type="paragraph">
    <w:name w:val="index 5"/>
    <w:basedOn w:val="Normal"/>
    <w:next w:val="Normal"/>
    <w:autoRedefine/>
    <w:semiHidden/>
    <w:pPr>
      <w:ind w:hanging="200" w:left="1000"/>
    </w:pPr>
  </w:style>
  <w:style w:styleId="Index6" w:type="paragraph">
    <w:name w:val="index 6"/>
    <w:basedOn w:val="Normal"/>
    <w:next w:val="Normal"/>
    <w:autoRedefine/>
    <w:semiHidden/>
    <w:pPr>
      <w:ind w:hanging="200" w:left="1200"/>
    </w:pPr>
  </w:style>
  <w:style w:styleId="Index7" w:type="paragraph">
    <w:name w:val="index 7"/>
    <w:basedOn w:val="Normal"/>
    <w:next w:val="Normal"/>
    <w:autoRedefine/>
    <w:semiHidden/>
    <w:pPr>
      <w:ind w:hanging="200" w:left="1400"/>
    </w:pPr>
  </w:style>
  <w:style w:styleId="Index8" w:type="paragraph">
    <w:name w:val="index 8"/>
    <w:basedOn w:val="Normal"/>
    <w:next w:val="Normal"/>
    <w:autoRedefine/>
    <w:semiHidden/>
    <w:pPr>
      <w:ind w:hanging="200" w:left="1600"/>
    </w:pPr>
  </w:style>
  <w:style w:styleId="Index9" w:type="paragraph">
    <w:name w:val="index 9"/>
    <w:basedOn w:val="Normal"/>
    <w:next w:val="Normal"/>
    <w:autoRedefine/>
    <w:semiHidden/>
    <w:pPr>
      <w:ind w:hanging="200" w:left="1800"/>
    </w:pPr>
  </w:style>
  <w:style w:styleId="LineNumber" w:type="character">
    <w:name w:val="line number"/>
    <w:basedOn w:val="DefaultParagraphFont"/>
  </w:style>
  <w:style w:styleId="ListContinue" w:type="paragraph">
    <w:name w:val="List Continue"/>
    <w:basedOn w:val="Normal"/>
    <w:pPr>
      <w:spacing w:after="120"/>
      <w:ind w:left="283"/>
    </w:pPr>
  </w:style>
  <w:style w:styleId="ListContinue2" w:type="paragraph">
    <w:name w:val="List Continue 2"/>
    <w:basedOn w:val="Normal"/>
    <w:pPr>
      <w:spacing w:after="120"/>
      <w:ind w:left="566"/>
    </w:pPr>
  </w:style>
  <w:style w:styleId="ListContinue3" w:type="paragraph">
    <w:name w:val="List Continue 3"/>
    <w:basedOn w:val="Normal"/>
    <w:pPr>
      <w:spacing w:after="120"/>
      <w:ind w:left="849"/>
    </w:pPr>
  </w:style>
  <w:style w:styleId="ListContinue4" w:type="paragraph">
    <w:name w:val="List Continue 4"/>
    <w:basedOn w:val="Normal"/>
    <w:pPr>
      <w:spacing w:after="120"/>
      <w:ind w:left="1132"/>
    </w:pPr>
  </w:style>
  <w:style w:styleId="ListContinue5" w:type="paragraph">
    <w:name w:val="List Continue 5"/>
    <w:basedOn w:val="Normal"/>
    <w:pPr>
      <w:spacing w:after="120"/>
      <w:ind w:left="1415"/>
    </w:pPr>
  </w:style>
  <w:style w:styleId="ListNumber3" w:type="paragraph">
    <w:name w:val="List Number 3"/>
    <w:basedOn w:val="Normal"/>
    <w:pPr>
      <w:numPr>
        <w:numId w:val="6"/>
      </w:numPr>
    </w:pPr>
  </w:style>
  <w:style w:styleId="ListNumber4" w:type="paragraph">
    <w:name w:val="List Number 4"/>
    <w:basedOn w:val="Normal"/>
    <w:pPr>
      <w:numPr>
        <w:numId w:val="7"/>
      </w:numPr>
    </w:pPr>
  </w:style>
  <w:style w:styleId="ListNumber5" w:type="paragraph">
    <w:name w:val="List Number 5"/>
    <w:basedOn w:val="Normal"/>
    <w:pPr>
      <w:numPr>
        <w:numId w:val="8"/>
      </w:numPr>
    </w:pPr>
  </w:style>
  <w:style w:styleId="MacroText" w:type="paragraph">
    <w:name w:val="macro"/>
    <w:semiHidden/>
    <w:pPr>
      <w:tabs>
        <w:tab w:pos="480" w:val="left"/>
        <w:tab w:pos="960" w:val="left"/>
        <w:tab w:pos="1440" w:val="left"/>
        <w:tab w:pos="1920" w:val="left"/>
        <w:tab w:pos="2400" w:val="left"/>
        <w:tab w:pos="2880" w:val="left"/>
        <w:tab w:pos="3360" w:val="left"/>
        <w:tab w:pos="3840" w:val="left"/>
        <w:tab w:pos="4320" w:val="left"/>
      </w:tabs>
      <w:overflowPunct w:val="0"/>
      <w:autoSpaceDE w:val="0"/>
      <w:autoSpaceDN w:val="0"/>
      <w:adjustRightInd w:val="0"/>
      <w:spacing w:after="180"/>
      <w:textAlignment w:val="baseline"/>
    </w:pPr>
    <w:rPr>
      <w:rFonts w:ascii="Courier New" w:cs="Courier New" w:hAnsi="Courier New"/>
      <w:lang w:eastAsia="en-US"/>
    </w:rPr>
  </w:style>
  <w:style w:styleId="MessageHeader" w:type="paragraph">
    <w:name w:val="Message Header"/>
    <w:basedOn w:val="Normal"/>
    <w:pPr>
      <w:pBdr>
        <w:top w:color="auto" w:space="1" w:sz="6" w:val="single"/>
        <w:left w:color="auto" w:space="1" w:sz="6" w:val="single"/>
        <w:bottom w:color="auto" w:space="1" w:sz="6" w:val="single"/>
        <w:right w:color="auto" w:space="1" w:sz="6" w:val="single"/>
      </w:pBdr>
      <w:shd w:color="auto" w:fill="auto" w:val="pct20"/>
      <w:ind w:hanging="1134" w:left="1134"/>
    </w:pPr>
    <w:rPr>
      <w:rFonts w:ascii="Arial" w:cs="Arial" w:hAnsi="Arial"/>
      <w:sz w:val="24"/>
      <w:szCs w:val="24"/>
    </w:rPr>
  </w:style>
  <w:style w:styleId="NormalWeb" w:type="paragraph">
    <w:name w:val="Normal (Web)"/>
    <w:basedOn w:val="Normal"/>
    <w:uiPriority w:val="99"/>
    <w:rPr>
      <w:sz w:val="24"/>
      <w:szCs w:val="24"/>
    </w:rPr>
  </w:style>
  <w:style w:styleId="NormalIndent" w:type="paragraph">
    <w:name w:val="Normal Indent"/>
    <w:basedOn w:val="Normal"/>
    <w:pPr>
      <w:ind w:left="720"/>
    </w:pPr>
  </w:style>
  <w:style w:styleId="NoteHeading" w:type="paragraph">
    <w:name w:val="Note Heading"/>
    <w:basedOn w:val="Normal"/>
    <w:next w:val="Normal"/>
  </w:style>
  <w:style w:styleId="PageNumber" w:type="character">
    <w:name w:val="page number"/>
    <w:basedOn w:val="DefaultParagraphFont"/>
  </w:style>
  <w:style w:styleId="PlainText" w:type="paragraph">
    <w:name w:val="Plain Text"/>
    <w:basedOn w:val="Normal"/>
    <w:rPr>
      <w:rFonts w:ascii="Courier New" w:cs="Courier New" w:hAnsi="Courier New"/>
    </w:rPr>
  </w:style>
  <w:style w:styleId="Salutation" w:type="paragraph">
    <w:name w:val="Salutation"/>
    <w:basedOn w:val="Normal"/>
    <w:next w:val="Normal"/>
  </w:style>
  <w:style w:styleId="Signature" w:type="paragraph">
    <w:name w:val="Signature"/>
    <w:basedOn w:val="Normal"/>
    <w:pPr>
      <w:ind w:left="4252"/>
    </w:pPr>
  </w:style>
  <w:style w:styleId="Strong" w:type="character">
    <w:name w:val="Strong"/>
    <w:qFormat/>
    <w:rPr>
      <w:b/>
      <w:bCs/>
    </w:rPr>
  </w:style>
  <w:style w:styleId="Subtitle" w:type="paragraph">
    <w:name w:val="Subtitle"/>
    <w:basedOn w:val="Normal"/>
    <w:qFormat/>
    <w:pPr>
      <w:spacing w:after="60"/>
      <w:jc w:val="center"/>
      <w:outlineLvl w:val="1"/>
    </w:pPr>
    <w:rPr>
      <w:rFonts w:ascii="Arial" w:cs="Arial" w:hAnsi="Arial"/>
      <w:sz w:val="24"/>
      <w:szCs w:val="24"/>
    </w:rPr>
  </w:style>
  <w:style w:styleId="TableofAuthorities" w:type="paragraph">
    <w:name w:val="table of authorities"/>
    <w:basedOn w:val="Normal"/>
    <w:next w:val="Normal"/>
    <w:semiHidden/>
    <w:pPr>
      <w:ind w:hanging="200" w:left="200"/>
    </w:pPr>
  </w:style>
  <w:style w:styleId="TableofFigures" w:type="paragraph">
    <w:name w:val="table of figures"/>
    <w:basedOn w:val="Normal"/>
    <w:next w:val="Normal"/>
    <w:semiHidden/>
    <w:pPr>
      <w:ind w:hanging="400" w:left="400"/>
    </w:pPr>
  </w:style>
  <w:style w:styleId="Title" w:type="paragraph">
    <w:name w:val="Title"/>
    <w:basedOn w:val="Normal"/>
    <w:qFormat/>
    <w:pPr>
      <w:spacing w:after="60" w:before="240"/>
      <w:jc w:val="center"/>
      <w:outlineLvl w:val="0"/>
    </w:pPr>
    <w:rPr>
      <w:rFonts w:ascii="Arial" w:cs="Arial" w:hAnsi="Arial"/>
      <w:b/>
      <w:bCs/>
      <w:kern w:val="28"/>
      <w:sz w:val="32"/>
      <w:szCs w:val="32"/>
    </w:rPr>
  </w:style>
  <w:style w:styleId="TOAHeading" w:type="paragraph">
    <w:name w:val="toa heading"/>
    <w:basedOn w:val="Normal"/>
    <w:next w:val="Normal"/>
    <w:semiHidden/>
    <w:pPr>
      <w:spacing w:before="120"/>
    </w:pPr>
    <w:rPr>
      <w:rFonts w:ascii="Arial" w:cs="Arial" w:hAnsi="Arial"/>
      <w:b/>
      <w:bCs/>
      <w:sz w:val="24"/>
      <w:szCs w:val="24"/>
    </w:rPr>
  </w:style>
  <w:style w:customStyle="1" w:styleId="TAJ" w:type="paragraph">
    <w:name w:val="TAJ"/>
    <w:basedOn w:val="Normal"/>
    <w:rsid w:val="00802AA2"/>
    <w:pPr>
      <w:keepNext/>
      <w:keepLines/>
      <w:spacing w:after="0"/>
      <w:jc w:val="both"/>
    </w:pPr>
    <w:rPr>
      <w:rFonts w:ascii="Arial" w:hAnsi="Arial"/>
      <w:sz w:val="18"/>
    </w:rPr>
  </w:style>
  <w:style w:styleId="BalloonText" w:type="paragraph">
    <w:name w:val="Balloon Text"/>
    <w:basedOn w:val="Normal"/>
    <w:link w:val="BalloonTextChar"/>
    <w:rsid w:val="00F12DD3"/>
    <w:pPr>
      <w:spacing w:after="0"/>
    </w:pPr>
    <w:rPr>
      <w:rFonts w:ascii="Tahoma" w:hAnsi="Tahoma"/>
      <w:sz w:val="16"/>
      <w:szCs w:val="16"/>
      <w:lang w:val="x-none"/>
    </w:rPr>
  </w:style>
  <w:style w:customStyle="1" w:styleId="BalloonTextChar" w:type="character">
    <w:name w:val="Balloon Text Char"/>
    <w:link w:val="BalloonText"/>
    <w:rsid w:val="00F12DD3"/>
    <w:rPr>
      <w:rFonts w:ascii="Tahoma" w:cs="Tahoma" w:hAnsi="Tahoma"/>
      <w:sz w:val="16"/>
      <w:szCs w:val="16"/>
      <w:lang w:eastAsia="en-US"/>
    </w:rPr>
  </w:style>
  <w:style w:customStyle="1" w:styleId="oneM2M-CoverTableLeft" w:type="paragraph">
    <w:name w:val="oneM2M-CoverTableLeft"/>
    <w:basedOn w:val="Normal"/>
    <w:qFormat/>
    <w:rsid w:val="00D7373D"/>
    <w:pPr>
      <w:keepNext/>
      <w:keepLines/>
      <w:overflowPunct/>
      <w:autoSpaceDE/>
      <w:autoSpaceDN/>
      <w:adjustRightInd/>
      <w:spacing w:after="60" w:before="60"/>
      <w:textAlignment w:val="auto"/>
    </w:pPr>
    <w:rPr>
      <w:rFonts w:eastAsia="BatangChe"/>
      <w:color w:val="FFFFFF"/>
      <w:sz w:val="24"/>
      <w:szCs w:val="24"/>
      <w:lang w:val="en-US"/>
    </w:rPr>
  </w:style>
  <w:style w:customStyle="1" w:styleId="oneM2M-Normal" w:type="paragraph">
    <w:name w:val="oneM2M-Normal"/>
    <w:basedOn w:val="Normal"/>
    <w:qFormat/>
    <w:rsid w:val="00D37DA4"/>
    <w:pPr>
      <w:tabs>
        <w:tab w:pos="284" w:val="left"/>
      </w:tabs>
      <w:overflowPunct/>
      <w:autoSpaceDE/>
      <w:autoSpaceDN/>
      <w:adjustRightInd/>
      <w:spacing w:after="0" w:before="120"/>
      <w:textAlignment w:val="auto"/>
    </w:pPr>
    <w:rPr>
      <w:rFonts w:eastAsia="SimSun"/>
      <w:szCs w:val="24"/>
    </w:rPr>
  </w:style>
  <w:style w:styleId="Revision" w:type="paragraph">
    <w:name w:val="Revision"/>
    <w:hidden/>
    <w:uiPriority w:val="99"/>
    <w:semiHidden/>
    <w:rsid w:val="00CB6E33"/>
    <w:rPr>
      <w:lang w:eastAsia="en-US"/>
    </w:rPr>
  </w:style>
  <w:style w:styleId="TableGrid" w:type="table">
    <w:name w:val="Table Grid"/>
    <w:basedOn w:val="TableNormal"/>
    <w:rsid w:val="00CC049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customStyle="1" w:styleId="TB1" w:type="paragraph">
    <w:name w:val="TB1"/>
    <w:basedOn w:val="Normal"/>
    <w:qFormat/>
    <w:rsid w:val="00802AA2"/>
    <w:pPr>
      <w:keepNext/>
      <w:keepLines/>
      <w:numPr>
        <w:numId w:val="11"/>
      </w:numPr>
      <w:tabs>
        <w:tab w:pos="720" w:val="left"/>
      </w:tabs>
      <w:spacing w:after="0"/>
      <w:ind w:hanging="380" w:left="737"/>
    </w:pPr>
    <w:rPr>
      <w:rFonts w:ascii="Arial" w:hAnsi="Arial"/>
      <w:sz w:val="18"/>
    </w:rPr>
  </w:style>
  <w:style w:customStyle="1" w:styleId="TB2" w:type="paragraph">
    <w:name w:val="TB2"/>
    <w:basedOn w:val="Normal"/>
    <w:qFormat/>
    <w:rsid w:val="00802AA2"/>
    <w:pPr>
      <w:keepNext/>
      <w:keepLines/>
      <w:numPr>
        <w:numId w:val="12"/>
      </w:numPr>
      <w:tabs>
        <w:tab w:pos="1109" w:val="left"/>
      </w:tabs>
      <w:spacing w:after="0"/>
      <w:ind w:hanging="380" w:left="1100"/>
    </w:pPr>
    <w:rPr>
      <w:rFonts w:ascii="Arial" w:hAnsi="Arial"/>
      <w:sz w:val="18"/>
    </w:rPr>
  </w:style>
  <w:style w:customStyle="1" w:styleId="B1Car" w:type="character">
    <w:name w:val="B1+ Car"/>
    <w:rsid w:val="000E1AA1"/>
    <w:rPr>
      <w:lang w:eastAsia="en-US"/>
    </w:rPr>
  </w:style>
  <w:style w:styleId="ListParagraph" w:type="paragraph">
    <w:name w:val="List Paragraph"/>
    <w:basedOn w:val="Normal"/>
    <w:uiPriority w:val="34"/>
    <w:qFormat/>
    <w:rsid w:val="00692391"/>
    <w:pPr>
      <w:ind w:left="720"/>
      <w:contextualSpacing/>
    </w:pPr>
  </w:style>
  <w:style w:styleId="UnresolvedMention" w:type="character">
    <w:name w:val="Unresolved Mention"/>
    <w:basedOn w:val="DefaultParagraphFont"/>
    <w:uiPriority w:val="99"/>
    <w:semiHidden/>
    <w:unhideWhenUsed/>
    <w:rsid w:val="0099655B"/>
    <w:rPr>
      <w:color w:val="605E5C"/>
      <w:shd w:color="auto" w:fill="E1DFDD" w:val="clear"/>
    </w:rPr>
  </w:style>
  <w:style w:customStyle="1" w:styleId="OneM2M-FrontMatter" w:type="paragraph">
    <w:name w:val="OneM2M-FrontMatter"/>
    <w:basedOn w:val="Normal"/>
    <w:rsid w:val="00B207B1"/>
    <w:pPr>
      <w:keepNext/>
      <w:keepLines/>
      <w:overflowPunct/>
      <w:autoSpaceDE/>
      <w:autoSpaceDN/>
      <w:adjustRightInd/>
      <w:spacing w:after="60" w:before="60"/>
      <w:textAlignment w:val="auto"/>
    </w:pPr>
    <w:rPr>
      <w:rFonts w:ascii="Myriad Pro" w:eastAsia="BatangChe" w:hAnsi="Myriad Pro"/>
      <w:sz w:val="22"/>
      <w:szCs w:val="24"/>
      <w:lang w:val="en-US"/>
    </w:rPr>
  </w:style>
  <w:style w:customStyle="1" w:styleId="ImageCaption" w:type="paragraph">
    <w:name w:val="Image Caption"/>
    <w:basedOn w:val="TF"/>
    <w:link w:val="ImageCaptionChar"/>
    <w:qFormat/>
    <w:rsid w:val="00BF4565"/>
  </w:style>
  <w:style w:customStyle="1" w:styleId="TableCaption" w:type="paragraph">
    <w:name w:val="Table Caption"/>
    <w:basedOn w:val="TH"/>
    <w:link w:val="TableCaptionChar"/>
    <w:qFormat/>
    <w:rsid w:val="00BF4565"/>
  </w:style>
  <w:style w:customStyle="1" w:styleId="FLChar" w:type="character">
    <w:name w:val="FL Char"/>
    <w:basedOn w:val="DefaultParagraphFont"/>
    <w:link w:val="FL"/>
    <w:rsid w:val="00BF4565"/>
    <w:rPr>
      <w:rFonts w:ascii="Arial" w:hAnsi="Arial"/>
      <w:b/>
      <w:lang w:eastAsia="en-US"/>
    </w:rPr>
  </w:style>
  <w:style w:customStyle="1" w:styleId="TFChar" w:type="character">
    <w:name w:val="TF Char"/>
    <w:basedOn w:val="FLChar"/>
    <w:link w:val="TF"/>
    <w:rsid w:val="00BF4565"/>
    <w:rPr>
      <w:rFonts w:ascii="Arial" w:hAnsi="Arial"/>
      <w:b/>
      <w:lang w:eastAsia="en-US"/>
    </w:rPr>
  </w:style>
  <w:style w:customStyle="1" w:styleId="ImageCaptionChar" w:type="character">
    <w:name w:val="Image Caption Char"/>
    <w:basedOn w:val="TFChar"/>
    <w:link w:val="ImageCaption"/>
    <w:rsid w:val="00BF4565"/>
    <w:rPr>
      <w:rFonts w:ascii="Arial" w:hAnsi="Arial"/>
      <w:b/>
      <w:lang w:eastAsia="en-US"/>
    </w:rPr>
  </w:style>
  <w:style w:customStyle="1" w:styleId="Figure" w:type="paragraph">
    <w:name w:val="Figure"/>
    <w:basedOn w:val="FL"/>
    <w:link w:val="FigureChar"/>
    <w:qFormat/>
    <w:rsid w:val="00547161"/>
    <w:pPr>
      <w:framePr w:hAnchor="text" w:vAnchor="text" w:wrap="around" w:xAlign="center" w:y="1"/>
    </w:pPr>
    <w:rPr>
      <w:noProof/>
      <w:lang w:eastAsia="en-GB"/>
    </w:rPr>
  </w:style>
  <w:style w:customStyle="1" w:styleId="THChar" w:type="character">
    <w:name w:val="TH Char"/>
    <w:basedOn w:val="FLChar"/>
    <w:link w:val="TH"/>
    <w:rsid w:val="00BF4565"/>
    <w:rPr>
      <w:rFonts w:ascii="Arial" w:hAnsi="Arial"/>
      <w:b/>
      <w:lang w:eastAsia="en-US"/>
    </w:rPr>
  </w:style>
  <w:style w:customStyle="1" w:styleId="TableCaptionChar" w:type="character">
    <w:name w:val="Table Caption Char"/>
    <w:basedOn w:val="THChar"/>
    <w:link w:val="TableCaption"/>
    <w:rsid w:val="00BF4565"/>
    <w:rPr>
      <w:rFonts w:ascii="Arial" w:hAnsi="Arial"/>
      <w:b/>
      <w:lang w:eastAsia="en-US"/>
    </w:rPr>
  </w:style>
  <w:style w:customStyle="1" w:styleId="Table" w:type="table">
    <w:name w:val="Table"/>
    <w:basedOn w:val="TableNormal"/>
    <w:uiPriority w:val="99"/>
    <w:rsid w:val="00F53001"/>
    <w:pPr>
      <w:jc w:val="center"/>
    </w:pPr>
    <w:tblPr>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rPr>
      <w:jc w:val="center"/>
    </w:trPr>
    <w:tcPr>
      <w:vAlign w:val="center"/>
    </w:tcPr>
    <w:tblStylePr w:type="firstRow">
      <w:rPr>
        <w:rFonts w:ascii="Times New Roman" w:hAnsi="Times New Roman"/>
        <w:b/>
        <w:sz w:val="20"/>
      </w:rPr>
    </w:tblStylePr>
  </w:style>
  <w:style w:customStyle="1" w:styleId="FigureChar" w:type="character">
    <w:name w:val="Figure Char"/>
    <w:basedOn w:val="FLChar"/>
    <w:link w:val="Figure"/>
    <w:rsid w:val="00547161"/>
    <w:rPr>
      <w:rFonts w:ascii="Arial" w:hAnsi="Arial"/>
      <w:b/>
      <w:noProof/>
      <w:lang w:eastAsia="en-US"/>
    </w:rPr>
  </w:style>
  <w:style w:customStyle="1" w:styleId="TACChar" w:type="character">
    <w:name w:val="TAC Char"/>
    <w:basedOn w:val="TALChar"/>
    <w:link w:val="TAC"/>
    <w:rsid w:val="006B246A"/>
    <w:rPr>
      <w:rFonts w:ascii="Arial" w:hAnsi="Arial"/>
      <w:sz w:val="18"/>
      <w:lang w:eastAsia="en-US"/>
    </w:rPr>
  </w:style>
  <w:style w:customStyle="1" w:styleId="TAHChar" w:type="character">
    <w:name w:val="TAH Char"/>
    <w:basedOn w:val="TACChar"/>
    <w:link w:val="TAH"/>
    <w:rsid w:val="006B246A"/>
    <w:rPr>
      <w:rFonts w:ascii="Arial" w:hAnsi="Arial"/>
      <w:b/>
      <w:sz w:val="18"/>
      <w:lang w:eastAsia="en-US"/>
    </w:rPr>
  </w:style>
  <w:style w:customStyle="1" w:styleId="SourceCode" w:type="paragraph">
    <w:name w:val="Source Code"/>
    <w:basedOn w:val="Normal"/>
    <w:qFormat/>
    <w:rsid w:val="00E35718"/>
    <w:pPr>
      <w:pBdr>
        <w:top w:color="auto" w:space="1" w:sz="4" w:val="single"/>
        <w:left w:color="auto" w:space="4" w:sz="4" w:val="single"/>
        <w:bottom w:color="auto" w:space="1" w:sz="4" w:val="single"/>
        <w:right w:color="auto" w:space="4" w:sz="4" w:val="single"/>
      </w:pBdr>
      <w:shd w:color="auto" w:fill="auto" w:val="pct5"/>
      <w:wordWrap w:val="0"/>
      <w:spacing w:before="180"/>
    </w:pPr>
    <w:rPr>
      <w:rFonts w:ascii="Courier New" w:hAnsi="Courier New"/>
      <w:color w:themeColor="background1" w:themeShade="A6" w:val="A6A6A6"/>
    </w:r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704066464">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01822242">
      <w:bodyDiv w:val="1"/>
      <w:marLeft w:val="0"/>
      <w:marRight w:val="0"/>
      <w:marTop w:val="0"/>
      <w:marBottom w:val="0"/>
      <w:divBdr>
        <w:top w:val="none" w:sz="0" w:space="0" w:color="auto"/>
        <w:left w:val="none" w:sz="0" w:space="0" w:color="auto"/>
        <w:bottom w:val="none" w:sz="0" w:space="0" w:color="auto"/>
        <w:right w:val="none" w:sz="0" w:space="0" w:color="auto"/>
      </w:divBdr>
    </w:div>
    <w:div w:id="1306937124">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99741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footer1.xml" Type="http://schemas.openxmlformats.org/officeDocument/2006/relationships/footer" /><Relationship Id="rId11" Target="footer2.xml" Type="http://schemas.openxmlformats.org/officeDocument/2006/relationships/footer" /><Relationship Type="http://schemas.openxmlformats.org/officeDocument/2006/relationships/image" Id="rId33" Target="media/rId33.png" /><Relationship Type="http://schemas.openxmlformats.org/officeDocument/2006/relationships/image" Id="rId40" Target="media/rId40.png" /><Relationship Type="http://schemas.openxmlformats.org/officeDocument/2006/relationships/image" Id="rId48" Target="media/rId48.png" /><Relationship Type="http://schemas.openxmlformats.org/officeDocument/2006/relationships/image" Id="rId51" Target="media/rId51.png" /><Relationship Type="http://schemas.openxmlformats.org/officeDocument/2006/relationships/image" Id="rId55" Target="media/rId55.png" /><Relationship Type="http://schemas.openxmlformats.org/officeDocument/2006/relationships/image" Id="rId79" Target="media/rId79.png" /><Relationship Type="http://schemas.openxmlformats.org/officeDocument/2006/relationships/image" Id="rId83" Target="media/rId83.png" /><Relationship Type="http://schemas.openxmlformats.org/officeDocument/2006/relationships/image" Id="rId60" Target="media/rId60.png" /><Relationship Type="http://schemas.openxmlformats.org/officeDocument/2006/relationships/image" Id="rId64" Target="media/rId64.png" /><Relationship Type="http://schemas.openxmlformats.org/officeDocument/2006/relationships/image" Id="rId69" Target="media/rId69.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44" Target="media/rId44.png" /><Relationship Type="http://schemas.openxmlformats.org/officeDocument/2006/relationships/image" Id="rId36" Target="media/rId36.jpg" /><Relationship Type="http://schemas.openxmlformats.org/officeDocument/2006/relationships/image" Id="rId20" Target="media/rId20.png" /></Relationships>
</file>

<file path=word/_rels/footnotes.xml.rels><?xml version="1.0" encoding="UTF-8"?><Relationships xmlns="http://schemas.openxmlformats.org/package/2006/relationships" />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ETSIW_2013.dotm</Template>
  <TotalTime>376</TotalTime>
  <Pages>35</Pages>
  <Words>6740</Words>
  <Characters>38422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Abstract Test Suite and Implementation eXtra Information for Test</vt:lpstr>
    </vt:vector>
  </TitlesOfParts>
  <Company>ETS Sophia Antipolis</Company>
  <LinksUpToDate>false</LinksUpToDate>
  <CharactersWithSpaces>45072</CharactersWithSpaces>
  <SharedDoc>false</SharedDoc>
  <HLinks>
    <vt:vector size="30" baseType="variant">
      <vt:variant>
        <vt:i4>4128773</vt:i4>
      </vt:variant>
      <vt:variant>
        <vt:i4>282</vt:i4>
      </vt:variant>
      <vt:variant>
        <vt:i4>0</vt:i4>
      </vt:variant>
      <vt:variant>
        <vt:i4>5</vt:i4>
      </vt:variant>
      <vt:variant>
        <vt:lpwstr>mailto:edithelp@etsi.org</vt:lpwstr>
      </vt:variant>
      <vt:variant>
        <vt:lpwstr/>
      </vt:variant>
      <vt:variant>
        <vt:i4>6750312</vt:i4>
      </vt:variant>
      <vt:variant>
        <vt:i4>279</vt:i4>
      </vt:variant>
      <vt:variant>
        <vt:i4>0</vt:i4>
      </vt:variant>
      <vt:variant>
        <vt:i4>5</vt:i4>
      </vt:variant>
      <vt:variant>
        <vt:lpwstr>http://git.onem2m.org:8080/TST/ATS.git</vt:lpwstr>
      </vt:variant>
      <vt:variant>
        <vt:lpwstr/>
      </vt:variant>
      <vt:variant>
        <vt:i4>4128790</vt:i4>
      </vt:variant>
      <vt:variant>
        <vt:i4>276</vt:i4>
      </vt:variant>
      <vt:variant>
        <vt:i4>0</vt:i4>
      </vt:variant>
      <vt:variant>
        <vt:i4>5</vt:i4>
      </vt:variant>
      <vt:variant>
        <vt:lpwstr>https://git.onem2m.org/TST/ATS/tags/TST-2018-0021-TS-0019_TTCN-3_Test_cases</vt:lpwstr>
      </vt:variant>
      <vt:variant>
        <vt:lpwstr/>
      </vt:variant>
      <vt:variant>
        <vt:i4>6815754</vt:i4>
      </vt:variant>
      <vt:variant>
        <vt:i4>177</vt:i4>
      </vt:variant>
      <vt:variant>
        <vt:i4>0</vt:i4>
      </vt:variant>
      <vt:variant>
        <vt:i4>5</vt:i4>
      </vt:variant>
      <vt:variant>
        <vt:lpwstr>http://member.onem2m.org/Static_pages/Others/Rules_Pages/oneM2M-Drafting-Rules-V1_0.doc</vt:lpwstr>
      </vt:variant>
      <vt:variant>
        <vt:lpwstr/>
      </vt:variant>
      <vt:variant>
        <vt:i4>5636118</vt:i4>
      </vt:variant>
      <vt:variant>
        <vt:i4>0</vt:i4>
      </vt:variant>
      <vt:variant>
        <vt:i4>0</vt:i4>
      </vt:variant>
      <vt:variant>
        <vt:i4>5</vt:i4>
      </vt:variant>
      <vt:variant>
        <vt:lpwstr>https://portal.etsi.org/Portals/0/TBpages/edithelp/Docs/ETSI manual of signs (trademarks).pdf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2025-10-31T15:40:08Z</dcterms:created>
  <dcterms:modified xsi:type="dcterms:W3CDTF">2025-10-31T15:40:08Z</dcterms:modified>
</cp:coreProperties>
</file>

<file path=docProps/custom.xml><?xml version="1.0" encoding="utf-8"?>
<Properties xmlns="http://schemas.openxmlformats.org/officeDocument/2006/custom-properties" xmlns:vt="http://schemas.openxmlformats.org/officeDocument/2006/docPropsVTypes"/>
</file>