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v0.0.4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v0.0.3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8fbad6a29321a33d0f9697348dcdd55a58ec0c95 to 77d56a462921629840202b3bb2548e79251c9219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p>
      <w:pPr>
        <w:pStyle w:val="Code"/>
      </w:pPr>
    </w:p>
    <w:p>
      <w:pPr>
        <w:pStyle w:val="CodeHeader"/>
      </w:pPr>
      <w:r>
        <w:t>---a/WI-0120-Edge_Deployment_using_ETSI_MEC.md</w:t>
        <w:br/>
        <w:t>+++b/WI-0120-Edge_Deployment_using_ETSI_MEC.md</w:t>
      </w:r>
    </w:p>
    <w:p>
      <w:pPr>
        <w:pStyle w:val="CodeHeader"/>
      </w:pPr>
      <w:r>
        <w:t xml:space="preserve">@@ -78,7 +78,10 @@ 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78</w:t>
        <w:tab/>
        <w:t>78</w:t>
        <w:tab/>
        <w:tab/>
      </w:r>
      <w:r>
        <w:t>|TR</w:t>
        <w:tab/>
        <w:t>|TR-0077</w:t>
        <w:tab/>
        <w:t>|oneM2M and MEC integration scenario and mechanisms</w:t>
        <w:tab/>
        <w:t>|TP#66</w:t>
        <w:tab/>
        <w:t>|75</w:t>
        <w:tab/>
        <w:t>|76</w:t>
        <w:tab/>
        <w:t>|77</w:t>
        <w:tab/>
        <w:t>|WG2 |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79</w:t>
        <w:tab/>
        <w:t>79</w:t>
        <w:tab/>
        <w:tab/>
      </w:r>
      <w:r>
        <w:t>|TS</w:t>
        <w:tab/>
        <w:t>|TS-0042</w:t>
        <w:tab/>
        <w:t>|oneM2M and MEC interworking and deployments</w:t>
        <w:tab/>
        <w:t>|TP#66</w:t>
        <w:tab/>
        <w:t>|75</w:t>
        <w:tab/>
        <w:t>|76</w:t>
        <w:tab/>
        <w:t>|77</w:t>
        <w:tab/>
        <w:t>|WG2 |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80</w:t>
        <w:tab/>
        <w:t>80</w:t>
        <w:tab/>
        <w:tab/>
      </w:r>
      <w:r>
        <w:t>|TR</w:t>
        <w:tab/>
        <w:t>|TR-0078</w:t>
        <w:tab/>
        <w:t xml:space="preserve">|Developer Guide: oneM2M and MEC deployment </w:t>
        <w:tab/>
        <w:t>|TP#68</w:t>
        <w:tab/>
        <w:t>|75</w:t>
        <w:tab/>
        <w:t>|76</w:t>
        <w:tab/>
        <w:t>|77</w:t>
        <w:tab/>
        <w:t>|WG4 |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fbe9eb"/>
      </w:pPr>
      <w:r>
        <w:rPr>
          <w:color w:val="BFBFBF"/>
          <w:shd w:val="clear" w:color="auto" w:fill="#f9d7dc"/>
        </w:rPr>
        <w:t>81</w:t>
        <w:tab/>
        <w:tab/>
        <w:t>-</w:t>
        <w:tab/>
      </w:r>
      <w:r>
        <w:t>|TR |TR-0080    |Use cases for oneM2M and MEC deployment scenarios and services |TP#70 |71 |71 |71 |WG2 |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81</w:t>
        <w:tab/>
        <w:t>+</w:t>
        <w:tab/>
      </w:r>
      <w:r>
        <w:t>|TR |TR-0080    |Features for oneM2M and MEC deployment scenarios |TP#70 |71 |71 |71 |WG2 |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82</w:t>
        <w:tab/>
        <w:t>+</w:t>
        <w:tab/>
      </w:r>
      <w:r>
        <w:t xml:space="preserve">|TS |TS-00XX    |ETSI MEC interworking                            |TP#72 |75 |76 |77 |WG2 | |  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83</w:t>
        <w:tab/>
        <w:t>+</w:t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84</w:t>
        <w:tab/>
        <w:t>+</w:t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82</w:t>
        <w:tab/>
        <w:t>85</w:t>
        <w:tab/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83</w:t>
        <w:tab/>
        <w:t>86</w:t>
        <w:tab/>
        <w:tab/>
      </w:r>
      <w:r>
        <w:t>* The first versions will be assigned by the secretariat (WPM Secretary)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84</w:t>
        <w:tab/>
        <w:t>87</w:t>
        <w:tab/>
        <w:tab/>
      </w:r>
      <w:r/>
    </w:p>
    <w:p>
      <w:pPr>
        <w:pStyle w:val="CodeHeader"/>
      </w:pPr>
      <w:r>
        <w:t xml:space="preserve">@@ -113,3 +116,6 @@ 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113</w:t>
        <w:tab/>
        <w:t>116</w:t>
        <w:tab/>
        <w:tab/>
      </w:r>
      <w:r>
        <w:t>+-------+----------------+------------------------------------------------------------+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114</w:t>
        <w:tab/>
        <w:t>117</w:t>
        <w:tab/>
        <w:tab/>
      </w:r>
      <w:r>
        <w:t>|V0.0.3 |2025-09-12      |Update document numbers and align schedule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115</w:t>
        <w:tab/>
        <w:t>118</w:t>
        <w:tab/>
        <w:tab/>
      </w:r>
      <w:r>
        <w:t>+-------+----------------+------------------------------------------------------------+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119</w:t>
        <w:tab/>
        <w:t>+</w:t>
        <w:tab/>
      </w:r>
      <w:r>
        <w:t>|V0.0.4 |2025-11-10      |Update the document title for TR-0080 \   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120</w:t>
        <w:tab/>
        <w:t>+</w:t>
        <w:tab/>
      </w:r>
      <w:r>
        <w:t>|       |                |Add new TS for ETSI MEC IPE               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121</w:t>
        <w:tab/>
        <w:t>+</w:t>
        <w:tab/>
      </w:r>
      <w:r>
        <w:t>+-------+----------------+------------------------------------------------------------+</w:t>
      </w: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uiPriority w:val="1"/>
    <w:qFormat/>
    <w:pPr>
      <w:spacing w:line="240" w:lineRule="auto" w:before="0" w:after="0"/>
      <w:ind w:left="0" w:firstLine="0"/>
    </w:pPr>
    <w:rPr>
      <w:rFonts w:ascii="Courier New" w:hAnsi="Courier New"/>
      <w:sz w:val="16"/>
    </w:rPr>
  </w:style>
  <w:style w:type="paragraph" w:customStyle="1" w:styleId="CodeHeader">
    <w:name w:val="CodeHeader"/>
    <w:basedOn w:val="Code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Miguel Angel Reina Ortega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