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C1318C" w14:paraId="321F10EA" w14:textId="77777777" w:rsidTr="00545FA5">
        <w:trPr>
          <w:trHeight w:val="302"/>
          <w:jc w:val="center"/>
        </w:trPr>
        <w:tc>
          <w:tcPr>
            <w:tcW w:w="9463" w:type="dxa"/>
            <w:gridSpan w:val="2"/>
            <w:shd w:val="clear" w:color="auto" w:fill="B42025"/>
          </w:tcPr>
          <w:p w14:paraId="58E3B18B" w14:textId="77777777" w:rsidR="001E2B3B" w:rsidRPr="00C1318C" w:rsidRDefault="00CA10FF" w:rsidP="00316BD2">
            <w:pPr>
              <w:pStyle w:val="oneM2M-CoverTableTitle"/>
            </w:pPr>
            <w:r w:rsidRPr="00523A4D">
              <w:t>Work Item</w:t>
            </w:r>
          </w:p>
        </w:tc>
      </w:tr>
      <w:tr w:rsidR="006B7235" w:rsidRPr="006A7446" w14:paraId="6ADF8EC0" w14:textId="77777777" w:rsidTr="00F76EE2">
        <w:trPr>
          <w:trHeight w:val="124"/>
          <w:jc w:val="center"/>
        </w:trPr>
        <w:tc>
          <w:tcPr>
            <w:tcW w:w="2512" w:type="dxa"/>
            <w:shd w:val="clear" w:color="auto" w:fill="A0A0A3"/>
          </w:tcPr>
          <w:p w14:paraId="6CD8BEAA" w14:textId="77777777"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521781E8" w14:textId="74D4FF13" w:rsidR="006B7235" w:rsidRPr="006A7446" w:rsidRDefault="006E5984" w:rsidP="00B55C2D">
            <w:pPr>
              <w:pStyle w:val="oneM2M-CoverTableText"/>
            </w:pPr>
            <w:r>
              <w:t>oneM2M and Model Context Protocol</w:t>
            </w:r>
            <w:r w:rsidR="00642A34">
              <w:t xml:space="preserve"> </w:t>
            </w:r>
            <w:r>
              <w:t>v0.0.1</w:t>
            </w:r>
          </w:p>
        </w:tc>
      </w:tr>
      <w:tr w:rsidR="00B55C2D" w:rsidRPr="006A7446" w14:paraId="5361F054" w14:textId="77777777" w:rsidTr="005741F1">
        <w:trPr>
          <w:trHeight w:val="124"/>
          <w:jc w:val="center"/>
        </w:trPr>
        <w:tc>
          <w:tcPr>
            <w:tcW w:w="2512" w:type="dxa"/>
            <w:shd w:val="clear" w:color="auto" w:fill="A0A0A3"/>
          </w:tcPr>
          <w:p w14:paraId="1D74440D" w14:textId="77777777" w:rsidR="00B55C2D" w:rsidRPr="00447DC4" w:rsidRDefault="00B55C2D" w:rsidP="00447DC4">
            <w:pPr>
              <w:pStyle w:val="oneM2M-CoverTableLeft"/>
            </w:pPr>
            <w:r w:rsidRPr="00447DC4">
              <w:t>Document Number*</w:t>
            </w:r>
          </w:p>
        </w:tc>
        <w:tc>
          <w:tcPr>
            <w:tcW w:w="6951" w:type="dxa"/>
            <w:shd w:val="clear" w:color="auto" w:fill="FFFFFF"/>
          </w:tcPr>
          <w:p w14:paraId="10637A92" w14:textId="46ED9D70" w:rsidR="00B55C2D" w:rsidRPr="006A7446" w:rsidRDefault="006E5984" w:rsidP="00061DA0">
            <w:pPr>
              <w:pStyle w:val="oneM2M-CoverTableText"/>
            </w:pPr>
            <w:r>
              <w:t>WI-0122</w:t>
            </w:r>
          </w:p>
        </w:tc>
      </w:tr>
      <w:tr w:rsidR="00B55C2D" w:rsidRPr="006A7446" w14:paraId="6DCED1CD" w14:textId="77777777" w:rsidTr="005741F1">
        <w:trPr>
          <w:trHeight w:val="124"/>
          <w:jc w:val="center"/>
        </w:trPr>
        <w:tc>
          <w:tcPr>
            <w:tcW w:w="2512" w:type="dxa"/>
            <w:shd w:val="clear" w:color="auto" w:fill="A0A0A3"/>
          </w:tcPr>
          <w:p w14:paraId="6F4DB6AE" w14:textId="77777777" w:rsidR="00B55C2D" w:rsidRPr="00447DC4" w:rsidRDefault="00B55C2D" w:rsidP="00447DC4">
            <w:pPr>
              <w:pStyle w:val="oneM2M-CoverTableLeft"/>
            </w:pPr>
            <w:r w:rsidRPr="00447DC4">
              <w:t>Supporting Members or Partner type 2*</w:t>
            </w:r>
          </w:p>
        </w:tc>
        <w:tc>
          <w:tcPr>
            <w:tcW w:w="6951" w:type="dxa"/>
            <w:shd w:val="clear" w:color="auto" w:fill="FFFFFF"/>
          </w:tcPr>
          <w:p w14:paraId="13662E32" w14:textId="77777777" w:rsidR="00B55C2D" w:rsidRPr="006A7446" w:rsidRDefault="00B55C2D" w:rsidP="005741F1">
            <w:pPr>
              <w:pStyle w:val="oneM2M-CoverTableText"/>
            </w:pPr>
            <w:r w:rsidRPr="006A7446">
              <w:t>List the supporting members or Partners type 2</w:t>
            </w:r>
          </w:p>
          <w:p w14:paraId="5206E6BD" w14:textId="6D28D2F5" w:rsidR="00B55C2D" w:rsidRPr="006A7446" w:rsidRDefault="006E5984" w:rsidP="005741F1">
            <w:pPr>
              <w:pStyle w:val="oneM2M-CoverTableText"/>
            </w:pPr>
            <w:r>
              <w:t>Deutsche Telekom, KETI, TTA, Sejong University</w:t>
            </w:r>
          </w:p>
        </w:tc>
      </w:tr>
      <w:tr w:rsidR="001E2B3B" w:rsidRPr="006A7446" w14:paraId="36232F08" w14:textId="77777777" w:rsidTr="00545FA5">
        <w:trPr>
          <w:trHeight w:val="124"/>
          <w:jc w:val="center"/>
        </w:trPr>
        <w:tc>
          <w:tcPr>
            <w:tcW w:w="2512" w:type="dxa"/>
            <w:shd w:val="clear" w:color="auto" w:fill="A0A0A3"/>
          </w:tcPr>
          <w:p w14:paraId="325389F4" w14:textId="77777777" w:rsidR="001E2B3B" w:rsidRPr="00447DC4" w:rsidRDefault="001E2B3B" w:rsidP="00447DC4">
            <w:pPr>
              <w:pStyle w:val="oneM2M-CoverTableLeft"/>
            </w:pPr>
            <w:r w:rsidRPr="00447DC4">
              <w:t>Date:*</w:t>
            </w:r>
          </w:p>
        </w:tc>
        <w:tc>
          <w:tcPr>
            <w:tcW w:w="6951" w:type="dxa"/>
            <w:shd w:val="clear" w:color="auto" w:fill="FFFFFF"/>
          </w:tcPr>
          <w:p w14:paraId="49E01F72" w14:textId="48EB55BD" w:rsidR="001E2B3B" w:rsidRPr="006A7446" w:rsidRDefault="006E5984" w:rsidP="00AD7E8D">
            <w:pPr>
              <w:pStyle w:val="oneM2M-CoverTableText"/>
            </w:pPr>
            <w:r>
              <w:t>2025-06-25</w:t>
            </w:r>
          </w:p>
        </w:tc>
      </w:tr>
      <w:tr w:rsidR="001E2B3B" w:rsidRPr="006A7446" w14:paraId="4DE1864D" w14:textId="77777777" w:rsidTr="00545FA5">
        <w:trPr>
          <w:trHeight w:val="937"/>
          <w:jc w:val="center"/>
        </w:trPr>
        <w:tc>
          <w:tcPr>
            <w:tcW w:w="2512" w:type="dxa"/>
            <w:shd w:val="clear" w:color="auto" w:fill="A0A0A3"/>
          </w:tcPr>
          <w:p w14:paraId="7ED01ED8" w14:textId="77777777" w:rsidR="001E2B3B" w:rsidRPr="00447DC4" w:rsidRDefault="001E2B3B" w:rsidP="00447DC4">
            <w:pPr>
              <w:pStyle w:val="oneM2M-CoverTableLeft"/>
            </w:pPr>
            <w:r w:rsidRPr="00447DC4">
              <w:t>Abstract:*</w:t>
            </w:r>
          </w:p>
        </w:tc>
        <w:tc>
          <w:tcPr>
            <w:tcW w:w="6951" w:type="dxa"/>
            <w:shd w:val="clear" w:color="auto" w:fill="FFFFFF"/>
          </w:tcPr>
          <w:p w14:paraId="113C359D" w14:textId="40352DA9" w:rsidR="001E2B3B" w:rsidRPr="006A7446" w:rsidRDefault="007E39A9" w:rsidP="00061DA0">
            <w:pPr>
              <w:pStyle w:val="oneM2M-CoverTableText"/>
            </w:pPr>
            <w:r>
              <w:rPr>
                <w:lang w:eastAsia="ja-JP"/>
              </w:rPr>
              <w:t>Propose a work item to study and specify the interworking between oneM2M and Model Context Protocol.</w:t>
            </w:r>
          </w:p>
        </w:tc>
      </w:tr>
      <w:tr w:rsidR="00116177" w:rsidRPr="00FA422E" w14:paraId="3166CDFC" w14:textId="77777777" w:rsidTr="00AE1325">
        <w:trPr>
          <w:trHeight w:val="373"/>
          <w:jc w:val="center"/>
        </w:trPr>
        <w:tc>
          <w:tcPr>
            <w:tcW w:w="9463" w:type="dxa"/>
            <w:gridSpan w:val="2"/>
            <w:shd w:val="clear" w:color="auto" w:fill="A0A0A3"/>
          </w:tcPr>
          <w:p w14:paraId="5FEA0FA3" w14:textId="77777777" w:rsidR="00116177" w:rsidRPr="00FA422E" w:rsidRDefault="00834563" w:rsidP="004A4404">
            <w:pPr>
              <w:pStyle w:val="oneM2M-CoverTableLeft"/>
              <w:tabs>
                <w:tab w:val="left" w:pos="6248"/>
              </w:tabs>
              <w:rPr>
                <w:sz w:val="16"/>
                <w:szCs w:val="16"/>
                <w:lang w:eastAsia="ja-JP"/>
              </w:rPr>
            </w:pPr>
            <w:r w:rsidRPr="00834563">
              <w:rPr>
                <w:sz w:val="16"/>
                <w:szCs w:val="16"/>
                <w:lang w:val="en-GB"/>
              </w:rPr>
              <w:t xml:space="preserve">'Template Version: </w:t>
            </w:r>
            <w:r w:rsidR="00642A34">
              <w:rPr>
                <w:sz w:val="16"/>
                <w:szCs w:val="16"/>
                <w:lang w:val="en-GB"/>
              </w:rPr>
              <w:t>January</w:t>
            </w:r>
            <w:r w:rsidRPr="00834563">
              <w:rPr>
                <w:sz w:val="16"/>
                <w:szCs w:val="16"/>
                <w:lang w:val="en-GB"/>
              </w:rPr>
              <w:t xml:space="preserve"> 20</w:t>
            </w:r>
            <w:r w:rsidR="00E273B7">
              <w:rPr>
                <w:sz w:val="16"/>
                <w:szCs w:val="16"/>
                <w:lang w:val="en-GB"/>
              </w:rPr>
              <w:t>20</w:t>
            </w:r>
            <w:r w:rsidRPr="00834563">
              <w:rPr>
                <w:sz w:val="16"/>
                <w:szCs w:val="16"/>
                <w:lang w:val="en-GB"/>
              </w:rPr>
              <w:t xml:space="preserve"> (do not modify)</w:t>
            </w:r>
          </w:p>
        </w:tc>
      </w:tr>
    </w:tbl>
    <w:p w14:paraId="4FF91A5B" w14:textId="77777777" w:rsidR="00BD3149" w:rsidRPr="006A7446" w:rsidRDefault="00BD3149" w:rsidP="00BD3149">
      <w:pPr>
        <w:pStyle w:val="oneM2M-Normal"/>
      </w:pPr>
    </w:p>
    <w:p w14:paraId="2274FEC9" w14:textId="77777777" w:rsidR="001E2B3B" w:rsidRPr="006A7446" w:rsidRDefault="001E2B3B" w:rsidP="00BD3149">
      <w:pPr>
        <w:pStyle w:val="oneM2M-Normal"/>
      </w:pPr>
    </w:p>
    <w:p w14:paraId="7D5F23CE" w14:textId="77777777" w:rsidR="00B70AD9" w:rsidRPr="006A7446" w:rsidRDefault="00B70AD9" w:rsidP="00BD3149">
      <w:pPr>
        <w:pStyle w:val="oneM2M-Normal"/>
      </w:pPr>
    </w:p>
    <w:p w14:paraId="45ED9E48" w14:textId="77777777" w:rsidR="00C67381" w:rsidRPr="006A7446" w:rsidRDefault="00C67381" w:rsidP="00C67381">
      <w:pPr>
        <w:pStyle w:val="oneM2M-IPRTitle"/>
      </w:pPr>
      <w:r w:rsidRPr="006A7446">
        <w:t>oneM2M Copyright statement</w:t>
      </w:r>
    </w:p>
    <w:p w14:paraId="47DE0127" w14:textId="77777777" w:rsidR="00C67381" w:rsidRPr="00726DA2" w:rsidRDefault="00C67381" w:rsidP="00726DA2">
      <w:pPr>
        <w:pStyle w:val="oneM2M-IPR"/>
      </w:pPr>
      <w:r w:rsidRPr="00726DA2">
        <w:t>No part may be reproduced except as authorized by written permission.</w:t>
      </w:r>
    </w:p>
    <w:p w14:paraId="2ADF1C92" w14:textId="77777777" w:rsidR="00C67381" w:rsidRPr="00726DA2" w:rsidRDefault="00C67381" w:rsidP="00726DA2">
      <w:pPr>
        <w:pStyle w:val="oneM2M-IPR"/>
      </w:pPr>
      <w:r w:rsidRPr="00726DA2">
        <w:t>The copyright and the foregoing restriction extend to reproduction in all media.</w:t>
      </w:r>
    </w:p>
    <w:p w14:paraId="4C57D9FD" w14:textId="77777777" w:rsidR="00C67381" w:rsidRPr="00726DA2" w:rsidRDefault="00C67381" w:rsidP="00726DA2">
      <w:pPr>
        <w:pStyle w:val="oneM2M-IPR"/>
      </w:pPr>
      <w:r w:rsidRPr="00726DA2">
        <w:t>All rights reserved.</w:t>
      </w:r>
    </w:p>
    <w:p w14:paraId="4933DE9D" w14:textId="73B0BE6C" w:rsidR="006A5775" w:rsidRPr="006A7446" w:rsidRDefault="006A5775" w:rsidP="006E5984">
      <w:pPr>
        <w:pStyle w:val="oneM2M-Heading1"/>
        <w:ind w:left="0" w:firstLine="0"/>
      </w:pPr>
    </w:p>
    <w:bookmarkStart w:id="0" w:name="title-abbreviation"/>
    <w:p>
      <w:pPr>
        <w:pStyle w:val="Heading1"/>
      </w:pPr>
      <w:r>
        <w:t xml:space="preserve">1 Title (abbreviation)</w:t>
      </w:r>
    </w:p>
    <w:p>
      <w:pPr>
        <w:pStyle w:val="FirstParagraph"/>
      </w:pPr>
      <w:r>
        <w:t xml:space="preserve">oneM2M and MCP</w:t>
      </w:r>
    </w:p>
    <w:bookmarkEnd w:id="0"/>
    <w:bookmarkStart w:id="1" w:name="justification"/>
    <w:p>
      <w:pPr>
        <w:pStyle w:val="Heading1"/>
      </w:pPr>
      <w:r>
        <w:t xml:space="preserve">2 Justification</w:t>
      </w:r>
    </w:p>
    <w:p>
      <w:pPr>
        <w:pStyle w:val="FirstParagraph"/>
      </w:pPr>
      <w:r>
        <w:t xml:space="preserve">Agentic AI is becoming increasingly important as industries move from passive analytics to systems that can act autonomously and adapt in real time. AI agents reduce manual effort, speed up decisions, and optimize processes in complex environments like networks, logistics, and automation.</w:t>
      </w:r>
    </w:p>
    <w:p>
      <w:pPr>
        <w:pStyle w:val="BodyText"/>
      </w:pPr>
      <w:r>
        <w:t xml:space="preserve">Unlike traditional AI that only provides insights, AI agents make decisions and take actions to achieve specific goals. Powered by technologies like large language models (LLMs), they can understand context, plan next steps, and interact with other agents and their environment enabling a new level of intelligence and automation in digital ecosystems.</w:t>
      </w:r>
    </w:p>
    <w:p>
      <w:pPr>
        <w:pStyle w:val="BodyText"/>
      </w:pPr>
      <w:r>
        <w:t xml:space="preserve">To unlock this potential, AI agents must interact not only with other agents but also with non-AI systems including information services (e.g., search and retrieval), physical-world interfaces (e.g., sensors and actuators), network infrastructure, and business applications and workflows.</w:t>
      </w:r>
      <w:r>
        <w:br/>
      </w:r>
      <w:r>
        <w:t xml:space="preserve">This is where the new Model Context Protocol (MCP) plays a critical role: it provides a structured and standardized way for agents to exchange context and commands with existing digital platforms, enabling seamless integration across AI and non-AI domains.</w:t>
      </w:r>
    </w:p>
    <w:p>
      <w:pPr>
        <w:pStyle w:val="BodyText"/>
      </w:pPr>
      <w:r>
        <w:t xml:space="preserve">Model Context Protocol (MCP) is rapidly gaining traction across the industry, with adoption by leading agent platforms and integration efforts from major technology players.</w:t>
      </w:r>
    </w:p>
    <w:p>
      <w:pPr>
        <w:pStyle w:val="BodyText"/>
      </w:pPr>
      <w:r>
        <w:t xml:space="preserve">In this work item, we propose to explore the interworking of MCP with oneM2M enabling the broad ecosystem of IoT devices supported by this standard to be easily extended with agent-based intelligence and capabilities, while also allowing oneM2M to enhance the capabilities of agents.</w:t>
      </w:r>
    </w:p>
    <w:bookmarkEnd w:id="1"/>
    <w:bookmarkStart w:id="2" w:name="intended-output"/>
    <w:p>
      <w:pPr>
        <w:pStyle w:val="Heading1"/>
      </w:pPr>
      <w:r>
        <w:t xml:space="preserve">3 Intended Output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Tick all the appropriate cases\</w:t>
            </w:r>
          </w:p>
        </w:tc>
        <w:tc>
          <w:tcPr/>
          <w:p>
            <w:pPr>
              <w:pStyle w:val="Compact"/>
            </w:pPr>
          </w:p>
        </w:tc>
      </w:tr>
      <w:tr>
        <w:tc>
          <w:tcPr/>
          <w:p>
            <w:pPr>
              <w:pStyle w:val="Compact"/>
            </w:pPr>
            <w:r>
              <w:t xml:space="preserve">X</w:t>
            </w:r>
          </w:p>
        </w:tc>
        <w:tc>
          <w:tcPr/>
          <w:p>
            <w:pPr>
              <w:pStyle w:val="Compact"/>
            </w:pPr>
            <w:r>
              <w:t xml:space="preserve">Change request(s) to existing Technical Specification(s)</w:t>
            </w:r>
          </w:p>
        </w:tc>
      </w:tr>
      <w:tr>
        <w:tc>
          <w:tcPr/>
          <w:p>
            <w:pPr>
              <w:pStyle w:val="Compact"/>
            </w:pPr>
          </w:p>
        </w:tc>
        <w:tc>
          <w:tcPr/>
          <w:p>
            <w:pPr>
              <w:pStyle w:val="Compact"/>
            </w:pPr>
            <w:r>
              <w:t xml:space="preserve">Change request(s) to existing Technical Reports(s)</w:t>
            </w:r>
          </w:p>
        </w:tc>
      </w:tr>
      <w:tr>
        <w:tc>
          <w:tcPr/>
          <w:p>
            <w:pPr>
              <w:pStyle w:val="Compact"/>
            </w:pPr>
            <w:r>
              <w:t xml:space="preserve">X</w:t>
            </w:r>
          </w:p>
        </w:tc>
        <w:tc>
          <w:tcPr/>
          <w:p>
            <w:pPr>
              <w:pStyle w:val="Compact"/>
            </w:pPr>
            <w:r>
              <w:t xml:space="preserve">New Normative Technical Specifications(s)</w:t>
            </w:r>
          </w:p>
        </w:tc>
      </w:tr>
      <w:tr>
        <w:tc>
          <w:tcPr/>
          <w:p>
            <w:pPr>
              <w:pStyle w:val="Compact"/>
            </w:pPr>
            <w:r>
              <w:t xml:space="preserve">X</w:t>
            </w:r>
          </w:p>
        </w:tc>
        <w:tc>
          <w:tcPr/>
          <w:p>
            <w:pPr>
              <w:pStyle w:val="Compact"/>
            </w:pPr>
            <w:r>
              <w:t xml:space="preserve">New Permanent Technical Reports(s)</w:t>
            </w:r>
          </w:p>
        </w:tc>
      </w:tr>
      <w:tr>
        <w:tc>
          <w:tcPr/>
          <w:p>
            <w:pPr>
              <w:pStyle w:val="Compact"/>
            </w:pPr>
          </w:p>
        </w:tc>
        <w:tc>
          <w:tcPr/>
          <w:p>
            <w:pPr>
              <w:pStyle w:val="Compact"/>
            </w:pPr>
            <w:r>
              <w:t xml:space="preserve">New Temporary Technical Reports(s)</w:t>
            </w:r>
          </w:p>
        </w:tc>
      </w:tr>
    </w:tbl>
    <w:bookmarkEnd w:id="2"/>
    <w:bookmarkStart w:id="3" w:name="impact"/>
    <w:p>
      <w:pPr>
        <w:pStyle w:val="Heading1"/>
      </w:pPr>
      <w:r>
        <w:t xml:space="preserve">4 Impact</w:t>
      </w:r>
    </w:p>
    <w:bookmarkStart w:id="4" w:name="onem2m-work-items"/>
    <w:p>
      <w:pPr>
        <w:pStyle w:val="Heading2"/>
      </w:pPr>
      <w:r>
        <w:t xml:space="preserve">4.1 oneM2M Work Items</w:t>
      </w:r>
    </w:p>
    <w:p>
      <w:pPr>
        <w:pStyle w:val="FirstParagraph"/>
      </w:pPr>
      <w:r>
        <w:t xml:space="preserve">The work item may have impact on TR-0068, TR-0069, TR-0071, TR-0072 (WI-0105). There might be additional impact discovered during further work.</w:t>
      </w:r>
    </w:p>
    <w:bookmarkEnd w:id="3"/>
    <w:bookmarkEnd w:id="4"/>
    <w:bookmarkStart w:id="5" w:name="scope"/>
    <w:p>
      <w:pPr>
        <w:pStyle w:val="Heading1"/>
      </w:pPr>
      <w:r>
        <w:t xml:space="preserve">5 Scope</w:t>
      </w:r>
    </w:p>
    <w:p>
      <w:pPr>
        <w:pStyle w:val="FirstParagraph"/>
      </w:pPr>
      <w:r>
        <w:t xml:space="preserve">This Work Item aims to develop a Technical Report investigating the interworking of the oneM2M standard and the Model Context Protocol (MCP).</w:t>
      </w:r>
    </w:p>
    <w:p>
      <w:pPr>
        <w:pStyle w:val="BodyText"/>
      </w:pPr>
      <w:r>
        <w:t xml:space="preserve">The objectives of the work item are structured as followed:</w:t>
      </w:r>
    </w:p>
    <w:p>
      <w:pPr>
        <w:pStyle w:val="BodyText"/>
      </w:pPr>
      <w:r>
        <w:t xml:space="preserve">Providing a technical analyses of Model Context Protocol</w:t>
      </w:r>
    </w:p>
    <w:p>
      <w:pPr>
        <w:pStyle w:val="BodyText"/>
      </w:pPr>
      <w:r>
        <w:t xml:space="preserve">Describe use cases that demonstrate how the diverse features of oneM2M can be utilized for AI in the context of MCP, including relevant interworking scenarios that are not limited to, but may involve IoT, networks, and workflows with a focus on scenarios of interest to key communities within the oneM2M and broader SDO ecosystem.</w:t>
      </w:r>
    </w:p>
    <w:p>
      <w:pPr>
        <w:pStyle w:val="BodyText"/>
      </w:pPr>
      <w:r>
        <w:t xml:space="preserve">Define a technical solution for interworking between the two standards, which may involve different levels of integration, including:</w:t>
      </w:r>
    </w:p>
    <w:p>
      <w:pPr>
        <w:pStyle w:val="BodyText"/>
      </w:pPr>
      <w:r>
        <w:t xml:space="preserve">Basic data forwarding / API wrapping</w:t>
      </w:r>
    </w:p>
    <w:p>
      <w:pPr>
        <w:pStyle w:val="BodyText"/>
      </w:pPr>
      <w:r>
        <w:t xml:space="preserve">Simple bridging of data between the two protocols without interpreting or translating its meaning. This can involve transferring payloads or invoking APIs from one side to the other in a transparent,</w:t>
      </w:r>
      <w:r>
        <w:t xml:space="preserve"> </w:t>
      </w:r>
      <w:r>
        <w:t xml:space="preserve">“black box”</w:t>
      </w:r>
      <w:r>
        <w:t xml:space="preserve"> </w:t>
      </w:r>
      <w:r>
        <w:t xml:space="preserve">manner.</w:t>
      </w:r>
    </w:p>
    <w:p>
      <w:pPr>
        <w:pStyle w:val="BodyText"/>
      </w:pPr>
      <w:r>
        <w:t xml:space="preserve">Semantic interworking</w:t>
      </w:r>
    </w:p>
    <w:p>
      <w:pPr>
        <w:pStyle w:val="BodyText"/>
      </w:pPr>
      <w:r>
        <w:t xml:space="preserve">Mapping the structure and meaning (semantics) of messages or data models from one protocol to the other. This includes translating message formats, aligning identifiers, or converting contextual metadata to ensure mutual understanding.</w:t>
      </w:r>
    </w:p>
    <w:p>
      <w:pPr>
        <w:pStyle w:val="BodyText"/>
      </w:pPr>
      <w:r>
        <w:t xml:space="preserve">Behavioral interworking</w:t>
      </w:r>
    </w:p>
    <w:p>
      <w:pPr>
        <w:pStyle w:val="BodyText"/>
      </w:pPr>
      <w:r>
        <w:t xml:space="preserve">Emulating or responding to protocol-specific behaviors such as session handling, heartbeat mechanisms (e.g., pings), or control flows. This may require actively interpreting incoming messages and triggering appropriate actions, even if the target protocol does not natively support those behaviors.</w:t>
      </w:r>
    </w:p>
    <w:p>
      <w:pPr>
        <w:pStyle w:val="BodyText"/>
      </w:pPr>
      <w:r>
        <w:t xml:space="preserve">Security, authentication, authorization, and licensing aspects</w:t>
      </w:r>
    </w:p>
    <w:p>
      <w:pPr>
        <w:pStyle w:val="BodyText"/>
      </w:pPr>
      <w:r>
        <w:t xml:space="preserve">Identify and address security-related requirements for interworking, including data protection, access control, trust management, and the handling of licensing and rights management when data is exchanged or reused across systems.</w:t>
      </w:r>
    </w:p>
    <w:p>
      <w:pPr>
        <w:pStyle w:val="BodyText"/>
      </w:pPr>
      <w:r>
        <w:t xml:space="preserve">Furthermore, based on the findings of the Technical Report, subsequent normative work may be initiated as a standalone Technical Specification to enable MCP interworking.</w:t>
      </w:r>
    </w:p>
    <w:bookmarkEnd w:id="5"/>
    <w:bookmarkStart w:id="6" w:name="schedule-and-impacted-specifications"/>
    <w:p>
      <w:pPr>
        <w:pStyle w:val="Heading1"/>
      </w:pPr>
      <w:r>
        <w:t xml:space="preserve">6 Schedule and impacted specifications</w:t>
      </w:r>
    </w:p>
    <w:p>
      <w:pPr>
        <w:pStyle w:val="FirstParagraph"/>
      </w:pPr>
      <w:r>
        <w:t xml:space="preserve">Provide the schedule of tasks to be performed;</w:t>
      </w:r>
    </w:p>
    <w:tbl>
      <w:tblPr>
        <w:tblStyle w:val="Table"/>
        <w:tblW w:type="pct" w:w="4718"/>
        <w:tblLayout w:type="fixed"/>
        <w:tblLook w:firstRow="1" w:lastRow="0" w:firstColumn="0" w:lastColumn="0" w:noHBand="0" w:noVBand="0" w:val="0020"/>
      </w:tblPr>
      <w:tblGrid>
        <w:gridCol w:w="725"/>
        <w:gridCol w:w="725"/>
        <w:gridCol w:w="1505"/>
        <w:gridCol w:w="446"/>
        <w:gridCol w:w="948"/>
        <w:gridCol w:w="501"/>
        <w:gridCol w:w="613"/>
        <w:gridCol w:w="557"/>
        <w:gridCol w:w="836"/>
        <w:gridCol w:w="613"/>
      </w:tblGrid>
      <w:tr>
        <w:trPr>
          <w:tblHeader w:val="on"/>
        </w:trPr>
        <w:tc>
          <w:tcPr>
            <w:vMerge w:val="restart"/>
          </w:tcPr>
          <w:p>
            <w:pPr>
              <w:pStyle w:val="Compact"/>
            </w:pPr>
            <w:r>
              <w:t xml:space="preserve">Document</w:t>
            </w:r>
            <w:r>
              <w:br/>
            </w:r>
            <w:r>
              <w:br/>
            </w:r>
            <w:r>
              <w:t xml:space="preserve">Type</w:t>
            </w:r>
          </w:p>
        </w:tc>
        <w:tc>
          <w:tcPr>
            <w:vMerge w:val="restart"/>
          </w:tcPr>
          <w:p>
            <w:pPr>
              <w:pStyle w:val="Compact"/>
            </w:pPr>
            <w:r>
              <w:t xml:space="preserve">Document</w:t>
            </w:r>
            <w:r>
              <w:br/>
            </w:r>
            <w:r>
              <w:br/>
            </w:r>
            <w:r>
              <w:t xml:space="preserve">Number*</w:t>
            </w:r>
          </w:p>
        </w:tc>
        <w:tc>
          <w:tcPr>
            <w:vMerge w:val="restart"/>
          </w:tcPr>
          <w:p>
            <w:pPr>
              <w:pStyle w:val="Compact"/>
            </w:pPr>
            <w:r>
              <w:t xml:space="preserve">Title</w:t>
            </w:r>
          </w:p>
        </w:tc>
        <w:tc>
          <w:tcPr>
            <w:gridSpan w:val="4"/>
          </w:tcPr>
          <w:p>
            <w:pPr>
              <w:pStyle w:val="Compact"/>
            </w:pPr>
            <w:r>
              <w:t xml:space="preserve">Schedule (TP No.)</w:t>
            </w:r>
          </w:p>
        </w:tc>
        <w:tc>
          <w:tcPr>
            <w:vMerge w:val="restart"/>
          </w:tcPr>
          <w:p>
            <w:pPr>
              <w:pStyle w:val="Compact"/>
            </w:pPr>
            <w:r>
              <w:t xml:space="preserve">Lead WG</w:t>
            </w:r>
          </w:p>
        </w:tc>
        <w:tc>
          <w:tcPr>
            <w:vMerge w:val="restart"/>
          </w:tcPr>
          <w:p>
            <w:pPr>
              <w:pStyle w:val="Compact"/>
            </w:pPr>
            <w:r>
              <w:t xml:space="preserve">Impacted WGs</w:t>
            </w:r>
          </w:p>
        </w:tc>
        <w:tc>
          <w:tcPr>
            <w:vMerge w:val="restart"/>
          </w:tcPr>
          <w:p>
            <w:pPr>
              <w:pStyle w:val="Compact"/>
            </w:pPr>
            <w:r>
              <w:t xml:space="preserve">Comments</w:t>
            </w:r>
          </w:p>
        </w:tc>
      </w:tr>
      <w:tr>
        <w:trPr>
          <w:tblHeader w:val="on"/>
        </w:trPr>
        <w:tc>
          <w:tcPr>
            <w:gridSpan w:val="1"/>
            <w:vMerge w:val="continue"/>
          </w:tcPr>
          <w:p>
            <w:pPr/>
          </w:p>
        </w:tc>
        <w:tc>
          <w:tcPr>
            <w:gridSpan w:val="1"/>
            <w:vMerge w:val="continue"/>
          </w:tcPr>
          <w:p>
            <w:pPr/>
          </w:p>
        </w:tc>
        <w:tc>
          <w:tcPr>
            <w:gridSpan w:val="1"/>
            <w:vMerge w:val="continue"/>
          </w:tcPr>
          <w:p>
            <w:pPr/>
          </w:p>
        </w:tc>
        <w:tc>
          <w:tcPr/>
          <w:p>
            <w:pPr>
              <w:pStyle w:val="Compact"/>
            </w:pPr>
            <w:r>
              <w:t xml:space="preserve">Start</w:t>
            </w:r>
          </w:p>
        </w:tc>
        <w:tc>
          <w:tcPr/>
          <w:p>
            <w:pPr>
              <w:pStyle w:val="Compact"/>
            </w:pPr>
            <w:r>
              <w:t xml:space="preserve">Change Control</w:t>
            </w:r>
          </w:p>
        </w:tc>
        <w:tc>
          <w:tcPr/>
          <w:p>
            <w:pPr>
              <w:pStyle w:val="Compact"/>
            </w:pPr>
            <w:r>
              <w:t xml:space="preserve">Freeze</w:t>
            </w:r>
          </w:p>
        </w:tc>
        <w:tc>
          <w:tcPr/>
          <w:p>
            <w:pPr>
              <w:pStyle w:val="Compact"/>
            </w:pPr>
            <w:r>
              <w:t xml:space="preserve">Approval</w:t>
            </w:r>
          </w:p>
        </w:tc>
        <w:tc>
          <w:tcPr>
            <w:gridSpan w:val="1"/>
            <w:vMerge w:val="continue"/>
          </w:tcPr>
          <w:p>
            <w:pPr/>
          </w:p>
        </w:tc>
        <w:tc>
          <w:tcPr>
            <w:gridSpan w:val="1"/>
            <w:vMerge w:val="continue"/>
          </w:tcPr>
          <w:p>
            <w:pPr/>
          </w:p>
        </w:tc>
        <w:tc>
          <w:tcPr>
            <w:gridSpan w:val="1"/>
            <w:vMerge w:val="continue"/>
          </w:tcPr>
          <w:p>
            <w:pPr/>
          </w:p>
        </w:tc>
      </w:tr>
      <w:tr>
        <w:tc>
          <w:tcPr/>
          <w:p>
            <w:pPr>
              <w:pStyle w:val="Compact"/>
            </w:pPr>
            <w:r>
              <w:t xml:space="preserve">TR</w:t>
            </w:r>
          </w:p>
        </w:tc>
        <w:tc>
          <w:tcPr/>
          <w:p>
            <w:pPr>
              <w:pStyle w:val="Compact"/>
            </w:pPr>
          </w:p>
        </w:tc>
        <w:tc>
          <w:tcPr/>
          <w:p>
            <w:pPr>
              <w:pStyle w:val="Compact"/>
            </w:pPr>
            <w:r>
              <w:t xml:space="preserve">Study of Model Context</w:t>
            </w:r>
            <w:r>
              <w:br/>
            </w:r>
            <w:r>
              <w:br/>
            </w:r>
            <w:r>
              <w:t xml:space="preserve">Protocol Interworking</w:t>
            </w:r>
          </w:p>
        </w:tc>
        <w:tc>
          <w:tcPr/>
          <w:p>
            <w:pPr>
              <w:pStyle w:val="Compact"/>
            </w:pPr>
            <w:r>
              <w:t xml:space="preserve">TP 70</w:t>
            </w:r>
          </w:p>
        </w:tc>
        <w:tc>
          <w:tcPr/>
          <w:p>
            <w:pPr>
              <w:pStyle w:val="Compact"/>
            </w:pPr>
            <w:r>
              <w:t xml:space="preserve">TP 75</w:t>
            </w:r>
          </w:p>
        </w:tc>
        <w:tc>
          <w:tcPr/>
          <w:p>
            <w:pPr>
              <w:pStyle w:val="Compact"/>
            </w:pPr>
            <w:r>
              <w:t xml:space="preserve">TP 78</w:t>
            </w:r>
          </w:p>
        </w:tc>
        <w:tc>
          <w:tcPr/>
          <w:p>
            <w:pPr>
              <w:pStyle w:val="Compact"/>
            </w:pPr>
            <w:r>
              <w:t xml:space="preserve">TP80</w:t>
            </w:r>
          </w:p>
        </w:tc>
        <w:tc>
          <w:tcPr/>
          <w:p>
            <w:pPr>
              <w:pStyle w:val="Compact"/>
            </w:pPr>
            <w:r>
              <w:t xml:space="preserve">WG2</w:t>
            </w:r>
          </w:p>
        </w:tc>
        <w:tc>
          <w:tcPr/>
          <w:p>
            <w:pPr>
              <w:pStyle w:val="Compact"/>
            </w:pPr>
            <w:r>
              <w:t xml:space="preserve">WG1</w:t>
            </w: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lockText"/>
      </w:pPr>
      <w:r>
        <w:t xml:space="preserve">NOTE: * The first versions will be assigned by the secretariat (WPM Secretary)</w:t>
      </w:r>
    </w:p>
    <w:tbl>
      <w:tblPr>
        <w:tblStyle w:val="Table"/>
        <w:tblW w:type="pct" w:w="4789"/>
        <w:tblLayout w:type="fixed"/>
        <w:tblLook w:firstRow="1" w:lastRow="0" w:firstColumn="0" w:lastColumn="0" w:noHBand="0" w:noVBand="0" w:val="0020"/>
      </w:tblPr>
      <w:tblGrid>
        <w:gridCol w:w="1083"/>
        <w:gridCol w:w="750"/>
        <w:gridCol w:w="1667"/>
        <w:gridCol w:w="1917"/>
        <w:gridCol w:w="1250"/>
        <w:gridCol w:w="917"/>
      </w:tblGrid>
      <w:tr>
        <w:trPr>
          <w:tblHeader w:val="on"/>
        </w:trPr>
        <w:tc>
          <w:tcPr>
            <w:gridSpan w:val="6"/>
          </w:tcPr>
          <w:p>
            <w:pPr>
              <w:pStyle w:val="Compact"/>
            </w:pPr>
            <w:r>
              <w:t xml:space="preserve">CRs to existing specifications</w:t>
            </w:r>
            <w:r>
              <w:br/>
            </w:r>
            <w:r>
              <w:t xml:space="preserve">(if any)</w:t>
            </w:r>
          </w:p>
        </w:tc>
      </w:tr>
      <w:tr>
        <w:tc>
          <w:tcPr/>
          <w:p>
            <w:pPr>
              <w:pStyle w:val="Compact"/>
            </w:pPr>
            <w:r>
              <w:t xml:space="preserve">Impacted</w:t>
            </w:r>
            <w:r>
              <w:br/>
            </w:r>
            <w:r>
              <w:br/>
            </w:r>
            <w:r>
              <w:t xml:space="preserve">TS/TR</w:t>
            </w:r>
          </w:p>
        </w:tc>
        <w:tc>
          <w:tcPr/>
          <w:p>
            <w:pPr>
              <w:pStyle w:val="Compact"/>
            </w:pPr>
          </w:p>
        </w:tc>
        <w:tc>
          <w:tcPr/>
          <w:p>
            <w:pPr>
              <w:pStyle w:val="Compact"/>
            </w:pPr>
            <w:r>
              <w:t xml:space="preserve">Subject of the CR</w:t>
            </w:r>
          </w:p>
        </w:tc>
        <w:tc>
          <w:tcPr/>
          <w:p>
            <w:pPr>
              <w:pStyle w:val="Compact"/>
            </w:pPr>
            <w:r>
              <w:t xml:space="preserve">Approved at plenary#</w:t>
            </w:r>
          </w:p>
        </w:tc>
        <w:tc>
          <w:tcPr/>
          <w:p>
            <w:pPr>
              <w:pStyle w:val="Compact"/>
            </w:pPr>
            <w:r>
              <w:t xml:space="preserve">Impacted WGs</w:t>
            </w:r>
          </w:p>
        </w:tc>
        <w:tc>
          <w:tcPr/>
          <w:p>
            <w:pPr>
              <w:pStyle w:val="Compact"/>
            </w:pPr>
            <w:r>
              <w:t xml:space="preserve">Comments</w:t>
            </w:r>
          </w:p>
        </w:tc>
      </w:tr>
      <w:tr>
        <w:tc>
          <w:tcPr/>
          <w:p>
            <w:pPr>
              <w:pStyle w:val="Compact"/>
            </w:pPr>
            <w:r>
              <w:t xml:space="preserve">TS/TR</w:t>
            </w:r>
          </w:p>
        </w:tc>
        <w:tc>
          <w:tcPr/>
          <w:p>
            <w:pPr>
              <w:pStyle w:val="Compact"/>
            </w:pPr>
          </w:p>
        </w:tc>
        <w:tc>
          <w:tcPr/>
          <w:p>
            <w:pPr>
              <w:pStyle w:val="Compact"/>
            </w:pPr>
            <w:r>
              <w:t xml:space="preserve">Subject of the CR</w:t>
            </w:r>
          </w:p>
        </w:tc>
        <w:tc>
          <w:tcPr/>
          <w:p>
            <w:pPr>
              <w:pStyle w:val="Compact"/>
            </w:pPr>
            <w:r>
              <w:t xml:space="preserve">TP z</w:t>
            </w:r>
          </w:p>
        </w:tc>
        <w:tc>
          <w:tcPr/>
          <w:p>
            <w:pPr>
              <w:pStyle w:val="Compact"/>
            </w:pPr>
            <w:r>
              <w:t xml:space="preserve">BBB, CCC</w:t>
            </w:r>
          </w:p>
        </w:tc>
        <w:tc>
          <w:tcPr/>
          <w:p>
            <w:pPr>
              <w:pStyle w:val="Compact"/>
            </w:pPr>
          </w:p>
        </w:tc>
      </w:tr>
      <w:tr>
        <w:tc>
          <w:tcPr/>
          <w:p>
            <w:pPr>
              <w:pStyle w:val="Compact"/>
            </w:pPr>
            <w:r>
              <w:t xml:space="preserve">TS/TR</w:t>
            </w: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6"/>
    <w:bookmarkStart w:id="7" w:name="work-item-rapporteurs"/>
    <w:p>
      <w:pPr>
        <w:pStyle w:val="Heading1"/>
      </w:pPr>
      <w:r>
        <w:t xml:space="preserve">7 Work Item Rapporteur(s)</w:t>
      </w:r>
    </w:p>
    <w:p>
      <w:pPr>
        <w:pStyle w:val="FirstParagraph"/>
      </w:pPr>
      <w:r>
        <w:t xml:space="preserve">Ingo Friese, Deutsche Telekom,</w:t>
      </w:r>
      <w:r>
        <w:t xml:space="preserve"> </w:t>
      </w:r>
      <w:hyperlink r:id="rId14">
        <w:r>
          <w:rPr>
            <w:rStyle w:val="Hyperlink"/>
          </w:rPr>
          <w:t xml:space="preserve">ingo.friese@telekom.de</w:t>
        </w:r>
      </w:hyperlink>
      <w:r>
        <w:t xml:space="preserve">;</w:t>
      </w:r>
      <w:r>
        <w:br/>
      </w:r>
      <w:r>
        <w:t xml:space="preserve">Andreas Neubacher, Deutsche Telekom,</w:t>
      </w:r>
      <w:r>
        <w:t xml:space="preserve"> </w:t>
      </w:r>
      <w:hyperlink r:id="rId15">
        <w:r>
          <w:rPr>
            <w:rStyle w:val="Hyperlink"/>
          </w:rPr>
          <w:t xml:space="preserve">andreas.neubacher@magenta.at</w:t>
        </w:r>
      </w:hyperlink>
    </w:p>
    <w:bookmarkEnd w:id="7"/>
    <w:bookmarkStart w:id="8" w:name="history"/>
    <w:p>
      <w:pPr>
        <w:pStyle w:val="Heading1"/>
      </w:pPr>
      <w:r>
        <w:t xml:space="preserve">8 History</w:t>
      </w:r>
    </w:p>
    <w:p>
      <w:pPr>
        <w:pStyle w:val="FirstParagraph"/>
      </w:pPr>
      <w:r>
        <w:rPr>
          <w:b/>
          <w:bCs/>
        </w:rPr>
        <w:t xml:space="preserve">Document history</w:t>
      </w:r>
    </w:p>
    <w:tbl>
      <w:tblPr>
        <w:tblStyle w:val="Table"/>
        <w:tblW w:type="pct" w:w="4946"/>
        <w:tblLayout w:type="fixed"/>
        <w:tblLook w:firstRow="1" w:lastRow="0" w:firstColumn="0" w:lastColumn="0" w:noHBand="0" w:noVBand="0" w:val="0020"/>
      </w:tblPr>
      <w:tblGrid>
        <w:gridCol w:w="860"/>
        <w:gridCol w:w="1119"/>
        <w:gridCol w:w="5853"/>
      </w:tblGrid>
      <w:tr>
        <w:trPr>
          <w:tblHeader w:val="on"/>
        </w:trPr>
        <w:tc>
          <w:tcPr/>
          <w:p>
            <w:pPr>
              <w:pStyle w:val="Compact"/>
              <w:jc w:val="left"/>
            </w:pPr>
            <w:r>
              <w:t xml:space="preserve">Version</w:t>
            </w:r>
          </w:p>
        </w:tc>
        <w:tc>
          <w:tcPr/>
          <w:p>
            <w:pPr>
              <w:pStyle w:val="Compact"/>
              <w:jc w:val="left"/>
            </w:pPr>
            <w:r>
              <w:t xml:space="preserve">Date</w:t>
            </w:r>
          </w:p>
        </w:tc>
        <w:tc>
          <w:tcPr/>
          <w:p>
            <w:pPr>
              <w:pStyle w:val="Compact"/>
              <w:jc w:val="left"/>
            </w:pPr>
            <w:r>
              <w:t xml:space="preserve">Description</w:t>
            </w:r>
          </w:p>
        </w:tc>
      </w:tr>
      <w:tr>
        <w:tc>
          <w:tcPr>
            <w:vMerge w:val="restart"/>
          </w:tcPr>
          <w:p>
            <w:pPr>
              <w:pStyle w:val="Compact"/>
              <w:jc w:val="left"/>
            </w:pPr>
            <w:r>
              <w:t xml:space="preserve">V0.0.1</w:t>
            </w:r>
          </w:p>
        </w:tc>
        <w:tc>
          <w:tcPr/>
          <w:p>
            <w:pPr>
              <w:pStyle w:val="Compact"/>
              <w:jc w:val="left"/>
            </w:pPr>
            <w:r>
              <w:t xml:space="preserve">2025-06-17</w:t>
            </w:r>
          </w:p>
        </w:tc>
        <w:tc>
          <w:tcPr/>
          <w:p>
            <w:pPr>
              <w:pStyle w:val="Compact"/>
              <w:jc w:val="left"/>
            </w:pPr>
            <w:r>
              <w:t xml:space="preserve">Initial proposal</w:t>
            </w:r>
          </w:p>
        </w:tc>
      </w:tr>
      <w:tr>
        <w:tc>
          <w:tcPr>
            <w:gridSpan w:val="1"/>
            <w:vMerge w:val="continue"/>
          </w:tcPr>
          <w:p>
            <w:pPr/>
          </w:p>
        </w:tc>
        <w:tc>
          <w:tcPr/>
          <w:p>
            <w:pPr>
              <w:pStyle w:val="Compact"/>
              <w:jc w:val="left"/>
            </w:pPr>
            <w:r>
              <w:t xml:space="preserve">2025-06-25</w:t>
            </w:r>
          </w:p>
        </w:tc>
        <w:tc>
          <w:tcPr/>
          <w:p>
            <w:pPr>
              <w:pStyle w:val="Compact"/>
              <w:jc w:val="left"/>
            </w:pPr>
            <w:r>
              <w:t xml:space="preserve">Uploaded as a</w:t>
            </w:r>
            <w:r>
              <w:br/>
            </w:r>
            <w:r>
              <w:t xml:space="preserve">permanent document following approval of TP-2025-0044R01</w:t>
            </w:r>
          </w:p>
        </w:tc>
      </w:tr>
    </w:tbl>
    <w:bookmarkEnd w:id="8"/>
    <w:sectPr w:rsidR="006A5775" w:rsidRPr="006A7446" w:rsidSect="00C1318C">
      <w:headerReference w:type="default" r:id="rId8"/>
      <w:footerReference w:type="default" r:id="rId9"/>
      <w:headerReference w:type="first" r:id="rId10"/>
      <w:footerReference w:type="first" r:id="rId11"/>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B0E3" w14:textId="77777777" w:rsidR="0044138C" w:rsidRDefault="0044138C">
      <w:r>
        <w:separator/>
      </w:r>
    </w:p>
  </w:endnote>
  <w:endnote w:type="continuationSeparator" w:id="0">
    <w:p w14:paraId="7E7CF36C" w14:textId="77777777" w:rsidR="0044138C" w:rsidRDefault="0044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imes">
    <w:altName w:val="Sylfaen"/>
    <w:panose1 w:val="02020603050405020304"/>
    <w:charset w:val="01"/>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E48D" w14:textId="50485E5E" w:rsidR="00390411" w:rsidRPr="00447DC4" w:rsidRDefault="00390411" w:rsidP="00447DC4">
    <w:pPr>
      <w:pStyle w:val="Footer"/>
    </w:pPr>
    <w:r w:rsidRPr="00447DC4">
      <w:sym w:font="Symbol" w:char="F0D3"/>
    </w:r>
    <w:r w:rsidRPr="00447DC4">
      <w:t xml:space="preserve"> </w:t>
    </w:r>
    <w:r w:rsidR="004654B2">
      <w:rPr>
        <w:rFonts w:eastAsia="Calibri"/>
        <w:lang w:val="en-US"/>
      </w:rPr>
      <w:t>2026</w:t>
    </w:r>
    <w:r w:rsidRPr="00447DC4">
      <w:t xml:space="preserve"> 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2072" w14:textId="61E69841"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7E39A9">
      <w:rPr>
        <w:noProof/>
      </w:rPr>
      <w:t>2026</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6B6D7D91"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4E69" w14:textId="77777777" w:rsidR="0044138C" w:rsidRDefault="0044138C">
      <w:r>
        <w:separator/>
      </w:r>
    </w:p>
  </w:footnote>
  <w:footnote w:type="continuationSeparator" w:id="0">
    <w:p w14:paraId="3DB44A17" w14:textId="77777777" w:rsidR="0044138C" w:rsidRDefault="0044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5B44" w14:textId="77777777" w:rsidR="00390411" w:rsidRPr="006A7446" w:rsidRDefault="00390411" w:rsidP="005F4E97">
    <w:pPr>
      <w:pStyle w:val="oneM2M-PageHead"/>
    </w:pPr>
    <w:r w:rsidRPr="006A744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4" w:type="dxa"/>
      <w:tblLook w:val="04A0" w:firstRow="1" w:lastRow="0" w:firstColumn="1" w:lastColumn="0" w:noHBand="0" w:noVBand="1"/>
    </w:tblPr>
    <w:tblGrid>
      <w:gridCol w:w="8086"/>
      <w:gridCol w:w="1568"/>
    </w:tblGrid>
    <w:tr w:rsidR="00390411" w:rsidRPr="006A7446" w14:paraId="4B8C7684" w14:textId="77777777" w:rsidTr="00DD6730">
      <w:trPr>
        <w:trHeight w:val="751"/>
      </w:trPr>
      <w:tc>
        <w:tcPr>
          <w:tcW w:w="8086" w:type="dxa"/>
        </w:tcPr>
        <w:p w14:paraId="63691281" w14:textId="77777777" w:rsidR="00390411" w:rsidRPr="006A7446" w:rsidRDefault="00390411" w:rsidP="00644301">
          <w:pPr>
            <w:pStyle w:val="Header"/>
            <w:rPr>
              <w:lang w:eastAsia="en-US"/>
            </w:rPr>
          </w:pPr>
          <w:r w:rsidRPr="006A7446">
            <w:rPr>
              <w:lang w:eastAsia="en-US"/>
            </w:rPr>
            <w:t xml:space="preserve">Doc# </w:t>
          </w:r>
          <w:r w:rsidRPr="006A7446">
            <w:rPr>
              <w:lang w:eastAsia="en-US"/>
            </w:rPr>
            <w:fldChar w:fldCharType="begin"/>
          </w:r>
          <w:r w:rsidRPr="006A7446">
            <w:rPr>
              <w:lang w:eastAsia="en-US"/>
            </w:rPr>
            <w:instrText xml:space="preserve"> FILENAME </w:instrText>
          </w:r>
          <w:r w:rsidRPr="006A7446">
            <w:rPr>
              <w:lang w:eastAsia="en-US"/>
            </w:rPr>
            <w:fldChar w:fldCharType="separate"/>
          </w:r>
          <w:r w:rsidRPr="006A7446">
            <w:rPr>
              <w:noProof/>
              <w:lang w:eastAsia="en-US"/>
            </w:rPr>
            <w:t>oneM2M-Template-WI-Doc.doc</w:t>
          </w:r>
          <w:r w:rsidRPr="006A7446">
            <w:rPr>
              <w:lang w:eastAsia="en-US"/>
            </w:rPr>
            <w:fldChar w:fldCharType="end"/>
          </w:r>
        </w:p>
      </w:tc>
      <w:tc>
        <w:tcPr>
          <w:tcW w:w="1568" w:type="dxa"/>
        </w:tcPr>
        <w:p w14:paraId="50F7BFF8" w14:textId="77777777" w:rsidR="00390411" w:rsidRPr="006A7446" w:rsidRDefault="007E39A9" w:rsidP="00644301">
          <w:pPr>
            <w:pStyle w:val="Header"/>
            <w:rPr>
              <w:noProof/>
              <w:lang w:eastAsia="en-US"/>
            </w:rPr>
          </w:pPr>
          <w:r>
            <w:rPr>
              <w:noProof/>
              <w:lang w:eastAsia="en-US"/>
            </w:rPr>
            <w:pict w14:anchorId="5ACD1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pt;height:45.6pt;visibility:visible">
                <v:imagedata r:id="rId1" o:title="oneM2M-Logo"/>
              </v:shape>
            </w:pict>
          </w:r>
        </w:p>
      </w:tc>
    </w:tr>
  </w:tbl>
  <w:p w14:paraId="66AB9598" w14:textId="77777777" w:rsidR="00390411" w:rsidRDefault="00390411" w:rsidP="00DD6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2"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E54EC"/>
    <w:multiLevelType w:val="multilevel"/>
    <w:tmpl w:val="7E18E270"/>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8"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1468282640">
    <w:abstractNumId w:val="1"/>
  </w:num>
  <w:num w:numId="2" w16cid:durableId="932711619">
    <w:abstractNumId w:val="7"/>
  </w:num>
  <w:num w:numId="3" w16cid:durableId="1415778552">
    <w:abstractNumId w:val="12"/>
  </w:num>
  <w:num w:numId="4" w16cid:durableId="1101682637">
    <w:abstractNumId w:val="10"/>
  </w:num>
  <w:num w:numId="5" w16cid:durableId="1032848226">
    <w:abstractNumId w:val="11"/>
  </w:num>
  <w:num w:numId="6" w16cid:durableId="1514491238">
    <w:abstractNumId w:val="2"/>
  </w:num>
  <w:num w:numId="7" w16cid:durableId="1572081091">
    <w:abstractNumId w:val="0"/>
  </w:num>
  <w:num w:numId="8" w16cid:durableId="624314436">
    <w:abstractNumId w:val="7"/>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1189847">
    <w:abstractNumId w:val="9"/>
  </w:num>
  <w:num w:numId="10" w16cid:durableId="2052604889">
    <w:abstractNumId w:val="5"/>
  </w:num>
  <w:num w:numId="11" w16cid:durableId="87704125">
    <w:abstractNumId w:val="3"/>
  </w:num>
  <w:num w:numId="12" w16cid:durableId="598833768">
    <w:abstractNumId w:val="4"/>
  </w:num>
  <w:num w:numId="13" w16cid:durableId="1482841797">
    <w:abstractNumId w:val="8"/>
  </w:num>
  <w:num w:numId="14" w16cid:durableId="54286729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1D13"/>
    <w:rsid w:val="00043994"/>
    <w:rsid w:val="00044DF6"/>
    <w:rsid w:val="0005421B"/>
    <w:rsid w:val="00061DA0"/>
    <w:rsid w:val="000A6099"/>
    <w:rsid w:val="000D5E31"/>
    <w:rsid w:val="000D5F7A"/>
    <w:rsid w:val="00100154"/>
    <w:rsid w:val="00111497"/>
    <w:rsid w:val="00116177"/>
    <w:rsid w:val="00132949"/>
    <w:rsid w:val="00133DB6"/>
    <w:rsid w:val="00155C46"/>
    <w:rsid w:val="00160658"/>
    <w:rsid w:val="00161C6A"/>
    <w:rsid w:val="001909CB"/>
    <w:rsid w:val="001978B8"/>
    <w:rsid w:val="00197B68"/>
    <w:rsid w:val="001B2FE2"/>
    <w:rsid w:val="001B6D7C"/>
    <w:rsid w:val="001C69B7"/>
    <w:rsid w:val="001D21A5"/>
    <w:rsid w:val="001E04CE"/>
    <w:rsid w:val="001E0F34"/>
    <w:rsid w:val="001E2B3B"/>
    <w:rsid w:val="00212135"/>
    <w:rsid w:val="00215823"/>
    <w:rsid w:val="002243AF"/>
    <w:rsid w:val="002429D0"/>
    <w:rsid w:val="00243FD7"/>
    <w:rsid w:val="00262E23"/>
    <w:rsid w:val="00270A52"/>
    <w:rsid w:val="00293797"/>
    <w:rsid w:val="002B4219"/>
    <w:rsid w:val="002C7C2E"/>
    <w:rsid w:val="002D0EA0"/>
    <w:rsid w:val="00314F6A"/>
    <w:rsid w:val="00316BD2"/>
    <w:rsid w:val="00323BE6"/>
    <w:rsid w:val="003568BD"/>
    <w:rsid w:val="00360F4B"/>
    <w:rsid w:val="00390411"/>
    <w:rsid w:val="003B154F"/>
    <w:rsid w:val="003D2B90"/>
    <w:rsid w:val="003D5034"/>
    <w:rsid w:val="003E2718"/>
    <w:rsid w:val="00433789"/>
    <w:rsid w:val="0044138C"/>
    <w:rsid w:val="00447DC4"/>
    <w:rsid w:val="00452E60"/>
    <w:rsid w:val="004654B2"/>
    <w:rsid w:val="004665EE"/>
    <w:rsid w:val="00467E25"/>
    <w:rsid w:val="004A4404"/>
    <w:rsid w:val="004F1C14"/>
    <w:rsid w:val="004F4B5A"/>
    <w:rsid w:val="00522219"/>
    <w:rsid w:val="00523A4D"/>
    <w:rsid w:val="00545FA5"/>
    <w:rsid w:val="00563E57"/>
    <w:rsid w:val="005741F1"/>
    <w:rsid w:val="0059054B"/>
    <w:rsid w:val="005A0EB9"/>
    <w:rsid w:val="005E7E28"/>
    <w:rsid w:val="005F4E97"/>
    <w:rsid w:val="006078F7"/>
    <w:rsid w:val="006106DD"/>
    <w:rsid w:val="00635A3F"/>
    <w:rsid w:val="00642A34"/>
    <w:rsid w:val="00644301"/>
    <w:rsid w:val="00651D13"/>
    <w:rsid w:val="006652A2"/>
    <w:rsid w:val="006661B9"/>
    <w:rsid w:val="006929F5"/>
    <w:rsid w:val="006958A9"/>
    <w:rsid w:val="006A527C"/>
    <w:rsid w:val="006A5775"/>
    <w:rsid w:val="006A7446"/>
    <w:rsid w:val="006B3755"/>
    <w:rsid w:val="006B6653"/>
    <w:rsid w:val="006B7235"/>
    <w:rsid w:val="006C456F"/>
    <w:rsid w:val="006C7A0C"/>
    <w:rsid w:val="006E205F"/>
    <w:rsid w:val="006E3290"/>
    <w:rsid w:val="006E50A8"/>
    <w:rsid w:val="006E5984"/>
    <w:rsid w:val="00707A04"/>
    <w:rsid w:val="00712C1E"/>
    <w:rsid w:val="00721CAB"/>
    <w:rsid w:val="00726DA2"/>
    <w:rsid w:val="0073394D"/>
    <w:rsid w:val="00734B83"/>
    <w:rsid w:val="0076105B"/>
    <w:rsid w:val="00771F07"/>
    <w:rsid w:val="00785C48"/>
    <w:rsid w:val="00797BDD"/>
    <w:rsid w:val="007A4F55"/>
    <w:rsid w:val="007A7C88"/>
    <w:rsid w:val="007C0E70"/>
    <w:rsid w:val="007C50E8"/>
    <w:rsid w:val="007E39A9"/>
    <w:rsid w:val="007E6997"/>
    <w:rsid w:val="007F2FE5"/>
    <w:rsid w:val="00834563"/>
    <w:rsid w:val="008439C6"/>
    <w:rsid w:val="008470CE"/>
    <w:rsid w:val="00853329"/>
    <w:rsid w:val="00854780"/>
    <w:rsid w:val="00882070"/>
    <w:rsid w:val="00885BDE"/>
    <w:rsid w:val="008913A8"/>
    <w:rsid w:val="008C2106"/>
    <w:rsid w:val="008C3FC5"/>
    <w:rsid w:val="008E3254"/>
    <w:rsid w:val="00903679"/>
    <w:rsid w:val="009163DD"/>
    <w:rsid w:val="009201F6"/>
    <w:rsid w:val="00944311"/>
    <w:rsid w:val="009554F4"/>
    <w:rsid w:val="00961759"/>
    <w:rsid w:val="009641CD"/>
    <w:rsid w:val="009826E3"/>
    <w:rsid w:val="009841A8"/>
    <w:rsid w:val="009A46C5"/>
    <w:rsid w:val="009B360A"/>
    <w:rsid w:val="009B4F3C"/>
    <w:rsid w:val="009C6A8C"/>
    <w:rsid w:val="009D0404"/>
    <w:rsid w:val="009D06B9"/>
    <w:rsid w:val="00A062A1"/>
    <w:rsid w:val="00A12358"/>
    <w:rsid w:val="00A17117"/>
    <w:rsid w:val="00A23991"/>
    <w:rsid w:val="00A432E1"/>
    <w:rsid w:val="00A44B9D"/>
    <w:rsid w:val="00A62CA0"/>
    <w:rsid w:val="00A76C60"/>
    <w:rsid w:val="00A87CEF"/>
    <w:rsid w:val="00A90109"/>
    <w:rsid w:val="00AB6CA0"/>
    <w:rsid w:val="00AC76A1"/>
    <w:rsid w:val="00AD3C0F"/>
    <w:rsid w:val="00AD7E8D"/>
    <w:rsid w:val="00AE1325"/>
    <w:rsid w:val="00AF1D7C"/>
    <w:rsid w:val="00B14020"/>
    <w:rsid w:val="00B215F8"/>
    <w:rsid w:val="00B55C2D"/>
    <w:rsid w:val="00B70AD9"/>
    <w:rsid w:val="00B72F44"/>
    <w:rsid w:val="00BB10C9"/>
    <w:rsid w:val="00BB39BC"/>
    <w:rsid w:val="00BC65F1"/>
    <w:rsid w:val="00BD3149"/>
    <w:rsid w:val="00BE7579"/>
    <w:rsid w:val="00C1318C"/>
    <w:rsid w:val="00C25B17"/>
    <w:rsid w:val="00C5037C"/>
    <w:rsid w:val="00C67381"/>
    <w:rsid w:val="00C807A6"/>
    <w:rsid w:val="00C86BD4"/>
    <w:rsid w:val="00CA10FF"/>
    <w:rsid w:val="00CC5A24"/>
    <w:rsid w:val="00CD34FD"/>
    <w:rsid w:val="00D06987"/>
    <w:rsid w:val="00D25B1E"/>
    <w:rsid w:val="00D7025B"/>
    <w:rsid w:val="00D912D8"/>
    <w:rsid w:val="00DD6730"/>
    <w:rsid w:val="00E122DB"/>
    <w:rsid w:val="00E21E4E"/>
    <w:rsid w:val="00E273B7"/>
    <w:rsid w:val="00E33261"/>
    <w:rsid w:val="00E357FE"/>
    <w:rsid w:val="00E40DB7"/>
    <w:rsid w:val="00E44B7C"/>
    <w:rsid w:val="00E53798"/>
    <w:rsid w:val="00E5400F"/>
    <w:rsid w:val="00E81FFF"/>
    <w:rsid w:val="00E82FCF"/>
    <w:rsid w:val="00ED66FF"/>
    <w:rsid w:val="00F31C1D"/>
    <w:rsid w:val="00F341D6"/>
    <w:rsid w:val="00F36FDC"/>
    <w:rsid w:val="00F47573"/>
    <w:rsid w:val="00F5261E"/>
    <w:rsid w:val="00F54A2D"/>
    <w:rsid w:val="00F60F6F"/>
    <w:rsid w:val="00F61D2A"/>
    <w:rsid w:val="00F76EE2"/>
    <w:rsid w:val="00F935D4"/>
    <w:rsid w:val="00F974BB"/>
    <w:rsid w:val="00FA422E"/>
    <w:rsid w:val="00FC23DA"/>
    <w:rsid w:val="00FD2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FB276"/>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qFormat="1"/>
    <w:lsdException w:name="footer"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7A6"/>
    <w:pPr>
      <w:spacing w:before="120" w:after="60"/>
    </w:pPr>
    <w:rPr>
      <w:rFonts w:ascii="Myriad Pro" w:hAnsi="Myriad Pro"/>
      <w:lang w:eastAsia="en-US"/>
    </w:rPr>
  </w:style>
  <w:style w:type="paragraph" w:styleId="Heading1">
    <w:name w:val="heading 1"/>
    <w:basedOn w:val="Normal"/>
    <w:next w:val="Normal"/>
    <w:qFormat/>
    <w:rsid w:val="00C807A6"/>
    <w:pPr>
      <w:keepNext/>
      <w:tabs>
        <w:tab w:val="right" w:pos="9634"/>
      </w:tabs>
      <w:spacing w:before="0" w:after="160"/>
      <w:outlineLvl w:val="0"/>
    </w:pPr>
    <w:rPr>
      <w:b/>
      <w:sz w:val="36"/>
    </w:rPr>
  </w:style>
  <w:style w:type="paragraph" w:styleId="Heading2">
    <w:name w:val="heading 2"/>
    <w:basedOn w:val="Heading1"/>
    <w:next w:val="Normal"/>
    <w:qFormat/>
    <w:pPr>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726DA2"/>
    <w:rPr>
      <w:b/>
      <w:sz w:val="22"/>
      <w:lang w:val="en-GB"/>
    </w:rPr>
  </w:style>
  <w:style w:type="paragraph" w:customStyle="1" w:styleId="oneM2M-PageHead">
    <w:name w:val="oneM2M-PageHead"/>
    <w:basedOn w:val="Header"/>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lang w:val="en-US" w:eastAsia="en-US"/>
    </w:rPr>
  </w:style>
  <w:style w:type="paragraph" w:customStyle="1" w:styleId="oneM2M-CoverTableLeft">
    <w:name w:val="oneM2M-CoverTableLeft"/>
    <w:basedOn w:val="oneM2M-CoverTableText"/>
    <w:qFormat/>
    <w:rsid w:val="00447DC4"/>
    <w:rPr>
      <w:color w:val="FFFFFF"/>
      <w:sz w:val="24"/>
    </w:rPr>
  </w:style>
  <w:style w:type="paragraph" w:styleId="ListParagraph">
    <w:name w:val="List Paragraph"/>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Paragraph"/>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paragraph" w:customStyle="1" w:styleId="AnnexHeading1">
    <w:name w:val="Annex Heading 1"/>
    <w:basedOn w:val="Heading1"/>
    <w:link w:val="AnnexHeading1Char"/>
    <w:autoRedefine/>
    <w:uiPriority w:val="99"/>
    <w:rsid w:val="00CA10FF"/>
    <w:pPr>
      <w:keepLines/>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lang w:val="en-US" w:eastAsia="en-US"/>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styleId="BodyText" w:type="paragraph">
    <w:name w:val="Body Text"/>
    <w:basedOn w:val="Normal"/>
    <w:pPr>
      <w:keepNext/>
      <w:spacing w:after="140"/>
    </w:p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ingo.friese@telekom.de" TargetMode="External"/><Relationship Id="rId15" Type="http://schemas.openxmlformats.org/officeDocument/2006/relationships/hyperlink" Target="andreas.neubacher@magenta.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B5D60-DD86-458C-A946-783EE5B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oneM2M Template Invitation</vt:lpstr>
    </vt:vector>
  </TitlesOfParts>
  <Company>OMA</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Miguel Angel Reina Ortega</cp:lastModifiedBy>
  <cp:revision>7</cp:revision>
  <cp:lastPrinted>2006-01-10T08:17:00Z</cp:lastPrinted>
  <dcterms:created xsi:type="dcterms:W3CDTF">2025-11-08T02:47:00Z</dcterms:created>
  <dcterms:modified xsi:type="dcterms:W3CDTF">2026-01-21T11:10:00Z</dcterms:modified>
</cp:coreProperties>
</file>